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E74A6F">
      <w:pPr>
        <w:pStyle w:val="Header"/>
        <w:tabs>
          <w:tab w:val="left" w:pos="3119"/>
          <w:tab w:val="right" w:pos="10490"/>
        </w:tabs>
        <w:rPr>
          <w:rFonts w:ascii="Times New Roman" w:hAnsi="Times New Roman"/>
          <w:sz w:val="24"/>
        </w:rPr>
      </w:pPr>
      <w:bookmarkStart w:id="0" w:name="_GoBack"/>
      <w:bookmarkEnd w:id="0"/>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r w:rsidR="009E4DFC" w:rsidRPr="009E4DFC">
        <w:rPr>
          <w:rFonts w:ascii="Times New Roman" w:hAnsi="Times New Roman"/>
          <w:sz w:val="24"/>
        </w:rPr>
        <w:t>R4-1904136</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E948E9">
        <w:rPr>
          <w:rFonts w:ascii="Arial" w:hAnsi="Arial" w:cs="Arial"/>
          <w:sz w:val="24"/>
          <w:lang w:val="en-US" w:eastAsia="zh-CN"/>
        </w:rPr>
        <w:t>Introduction of enhanced measurements for high speed train for SCells</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682811">
        <w:rPr>
          <w:rFonts w:ascii="Arial" w:hAnsi="Arial" w:cs="Arial"/>
          <w:sz w:val="24"/>
          <w:lang w:val="en-US" w:eastAsia="zh-CN"/>
        </w:rPr>
        <w:t>7.15.2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948E9" w:rsidRDefault="009F7808" w:rsidP="0032455B">
      <w:r>
        <w:t xml:space="preserve">In this paper, we discuss the aspects of the way forward for HST enhancement related to </w:t>
      </w:r>
    </w:p>
    <w:tbl>
      <w:tblPr>
        <w:tblStyle w:val="TableGrid"/>
        <w:tblW w:w="0" w:type="auto"/>
        <w:tblLook w:val="04A0" w:firstRow="1" w:lastRow="0" w:firstColumn="1" w:lastColumn="0" w:noHBand="0" w:noVBand="1"/>
      </w:tblPr>
      <w:tblGrid>
        <w:gridCol w:w="10537"/>
      </w:tblGrid>
      <w:tr w:rsidR="009F7808" w:rsidTr="009F7808">
        <w:tc>
          <w:tcPr>
            <w:tcW w:w="10763" w:type="dxa"/>
          </w:tcPr>
          <w:p w:rsidR="009F7808" w:rsidRPr="009F7808" w:rsidRDefault="009F7808" w:rsidP="009F7808">
            <w:pPr>
              <w:numPr>
                <w:ilvl w:val="0"/>
                <w:numId w:val="28"/>
              </w:numPr>
            </w:pPr>
            <w:r w:rsidRPr="009F7808">
              <w:rPr>
                <w:lang w:val="en-US"/>
              </w:rPr>
              <w:t>RAN4 RRM shall focus on the following requirement impacts for HST feature:</w:t>
            </w:r>
          </w:p>
          <w:p w:rsidR="009F7808" w:rsidRDefault="009F7808" w:rsidP="009F7808">
            <w:r>
              <w:t>…</w:t>
            </w:r>
          </w:p>
          <w:p w:rsidR="009F7808" w:rsidRPr="009F7808" w:rsidRDefault="009F7808" w:rsidP="009F7808">
            <w:pPr>
              <w:numPr>
                <w:ilvl w:val="1"/>
                <w:numId w:val="27"/>
              </w:numPr>
            </w:pPr>
            <w:r w:rsidRPr="009F7808">
              <w:rPr>
                <w:lang w:val="en-US"/>
              </w:rPr>
              <w:t xml:space="preserve">Measurement requirements of SCC with both active Scells and deactivated SCells </w:t>
            </w:r>
          </w:p>
          <w:p w:rsidR="009F7808" w:rsidRDefault="009F7808" w:rsidP="0032455B">
            <w:r>
              <w:t>…</w:t>
            </w:r>
          </w:p>
        </w:tc>
      </w:tr>
    </w:tbl>
    <w:p w:rsidR="009F7808" w:rsidRDefault="009F7808" w:rsidP="0032455B"/>
    <w:p w:rsidR="005813AA" w:rsidRDefault="005813AA" w:rsidP="005813AA">
      <w:pPr>
        <w:pStyle w:val="Heading1"/>
        <w:jc w:val="both"/>
        <w:rPr>
          <w:rFonts w:eastAsia="SimSun"/>
          <w:lang w:val="en-US" w:eastAsia="zh-CN"/>
        </w:rPr>
      </w:pPr>
      <w:r>
        <w:rPr>
          <w:rFonts w:eastAsia="SimSun"/>
          <w:lang w:val="en-US" w:eastAsia="zh-CN"/>
        </w:rPr>
        <w:t>Discussion</w:t>
      </w:r>
    </w:p>
    <w:p w:rsidR="0034168A" w:rsidRDefault="009F7808" w:rsidP="009F7808">
      <w:pPr>
        <w:pStyle w:val="Heading2"/>
        <w:rPr>
          <w:lang w:val="en-US" w:eastAsia="zh-CN"/>
        </w:rPr>
      </w:pPr>
      <w:r>
        <w:rPr>
          <w:lang w:val="en-US" w:eastAsia="zh-CN"/>
        </w:rPr>
        <w:t>Active Scell, non DRX</w:t>
      </w:r>
    </w:p>
    <w:p w:rsidR="009F7808" w:rsidRDefault="009F7808" w:rsidP="009F7808">
      <w:pPr>
        <w:rPr>
          <w:lang w:val="en-US" w:eastAsia="zh-CN"/>
        </w:rPr>
      </w:pPr>
      <w:r>
        <w:rPr>
          <w:lang w:val="en-US" w:eastAsia="zh-CN"/>
        </w:rPr>
        <w:t xml:space="preserve">Baseline cell detection requirements for active SCells in non DRX </w:t>
      </w:r>
      <w:r w:rsidR="008F072D">
        <w:rPr>
          <w:lang w:val="en-US" w:eastAsia="zh-CN"/>
        </w:rPr>
        <w:t xml:space="preserve">(and DRX) </w:t>
      </w:r>
      <w:r>
        <w:rPr>
          <w:lang w:val="en-US" w:eastAsia="zh-CN"/>
        </w:rPr>
        <w:t xml:space="preserve">are </w:t>
      </w:r>
      <w:r w:rsidR="008F072D">
        <w:rPr>
          <w:lang w:val="en-US" w:eastAsia="zh-CN"/>
        </w:rPr>
        <w:t>specified in 36.133 section 8.3.3.1</w:t>
      </w:r>
    </w:p>
    <w:tbl>
      <w:tblPr>
        <w:tblStyle w:val="TableGrid"/>
        <w:tblW w:w="0" w:type="auto"/>
        <w:tblLook w:val="04A0" w:firstRow="1" w:lastRow="0" w:firstColumn="1" w:lastColumn="0" w:noHBand="0" w:noVBand="1"/>
      </w:tblPr>
      <w:tblGrid>
        <w:gridCol w:w="10537"/>
      </w:tblGrid>
      <w:tr w:rsidR="008F072D" w:rsidTr="008F072D">
        <w:tc>
          <w:tcPr>
            <w:tcW w:w="10537" w:type="dxa"/>
          </w:tcPr>
          <w:p w:rsidR="008F072D" w:rsidRPr="00106722" w:rsidRDefault="008F072D" w:rsidP="008F072D">
            <w:pPr>
              <w:pStyle w:val="Heading4"/>
              <w:outlineLvl w:val="3"/>
            </w:pPr>
            <w:bookmarkStart w:id="2" w:name="_Toc383690851"/>
            <w:r w:rsidRPr="00106722">
              <w:t>8.3.3.1</w:t>
            </w:r>
            <w:r w:rsidRPr="00106722">
              <w:tab/>
              <w:t>Measurements of a secondary component carrier with active SCell</w:t>
            </w:r>
            <w:bookmarkEnd w:id="2"/>
          </w:p>
          <w:p w:rsidR="008F072D" w:rsidRPr="008F072D" w:rsidRDefault="008F072D" w:rsidP="009F7808">
            <w:r w:rsidRPr="00106722">
              <w:t>When the SCell is activated, measurement performance requirements for the frequency are those given in clause 8.1.2.2(E-UTRAN intra frequency measurements</w:t>
            </w:r>
            <w:r w:rsidRPr="00106722">
              <w:rPr>
                <w:rFonts w:hint="eastAsia"/>
                <w:lang w:eastAsia="zh-CN"/>
              </w:rPr>
              <w:t xml:space="preserve"> and E-UTRAN </w:t>
            </w:r>
            <w:r w:rsidRPr="00106722">
              <w:rPr>
                <w:rFonts w:hint="eastAsia"/>
              </w:rPr>
              <w:t>intra</w:t>
            </w:r>
            <w:r w:rsidRPr="00106722">
              <w:rPr>
                <w:rFonts w:hint="eastAsia"/>
                <w:lang w:eastAsia="zh-CN"/>
              </w:rPr>
              <w:t xml:space="preserve"> frequency measurements with autonomous gaps</w:t>
            </w:r>
            <w:r w:rsidRPr="00106722">
              <w:t xml:space="preserve">). If common DRX is in use, then the requirements for that secondary component carrier are given by the applicable DRX requirements (FDD or TDD) in clause 8.1.2.2, otherwise the non DRX requirements are applicable. When </w:t>
            </w:r>
            <w:r w:rsidRPr="00106722">
              <w:rPr>
                <w:i/>
                <w:lang w:eastAsia="ja-JP"/>
              </w:rPr>
              <w:t>highSpeedEnhancedMeasFlag</w:t>
            </w:r>
            <w:r w:rsidRPr="00106722">
              <w:t xml:space="preserve"> is configured</w:t>
            </w:r>
            <w:r w:rsidRPr="00106722">
              <w:rPr>
                <w:i/>
              </w:rPr>
              <w:t xml:space="preserve">, </w:t>
            </w:r>
            <w:r w:rsidRPr="00106722">
              <w:t>the enhanced measurement requirements apply only to measurements of the primary component carrier and do not apply to measurements of a secondary component carrier with active SCell. The applicable measurement accuracy requirements are in clause 9.1.11 (Carrier aggregation measurement accuracy)</w:t>
            </w:r>
          </w:p>
        </w:tc>
      </w:tr>
    </w:tbl>
    <w:p w:rsidR="00B12897" w:rsidRPr="00B12897" w:rsidRDefault="00B12897" w:rsidP="009F7808">
      <w:pPr>
        <w:rPr>
          <w:lang w:val="en-US" w:eastAsia="zh-CN"/>
        </w:rPr>
      </w:pPr>
    </w:p>
    <w:p w:rsidR="00B12897" w:rsidRDefault="008F072D" w:rsidP="009F7808">
      <w:pPr>
        <w:rPr>
          <w:lang w:val="en-US" w:eastAsia="zh-CN"/>
        </w:rPr>
      </w:pPr>
      <w:r>
        <w:rPr>
          <w:lang w:val="en-US" w:eastAsia="zh-CN"/>
        </w:rPr>
        <w:t xml:space="preserve">In release 14, </w:t>
      </w:r>
      <w:r w:rsidR="00B12897">
        <w:rPr>
          <w:lang w:val="en-US" w:eastAsia="zh-CN"/>
        </w:rPr>
        <w:t xml:space="preserve">no enhancement was specified for non DRX requirements of the PCell. </w:t>
      </w:r>
    </w:p>
    <w:p w:rsidR="00B12897" w:rsidRPr="00B12897" w:rsidRDefault="00B12897" w:rsidP="009F7808">
      <w:pPr>
        <w:rPr>
          <w:lang w:val="en-US" w:eastAsia="zh-CN"/>
        </w:rPr>
      </w:pPr>
      <w:r>
        <w:rPr>
          <w:lang w:val="en-US" w:eastAsia="zh-CN"/>
        </w:rPr>
        <w:t xml:space="preserve">This means that </w:t>
      </w:r>
      <w:r w:rsidRPr="00B12897">
        <w:rPr>
          <w:lang w:val="en-US" w:eastAsia="zh-CN"/>
        </w:rPr>
        <w:t>cells should be identified within 800ms, and 200ms measurement period is specified.</w:t>
      </w:r>
    </w:p>
    <w:p w:rsidR="008F072D" w:rsidRPr="00B12897" w:rsidRDefault="00B12897" w:rsidP="009F7808">
      <w:pPr>
        <w:rPr>
          <w:lang w:val="en-US" w:eastAsia="zh-CN"/>
        </w:rPr>
      </w:pPr>
      <w:r w:rsidRPr="00B12897">
        <w:rPr>
          <w:lang w:val="en-US" w:eastAsia="zh-CN"/>
        </w:rPr>
        <w:t>While the discussion will still take place for PCell HST non DRX requirements in release 16, our view is that there is limited scope to enhance SCC non DRX performance.</w:t>
      </w:r>
    </w:p>
    <w:p w:rsidR="00B12897" w:rsidRPr="00B12897" w:rsidRDefault="00B12897" w:rsidP="00B12897">
      <w:pPr>
        <w:pStyle w:val="ListParagraph"/>
        <w:numPr>
          <w:ilvl w:val="0"/>
          <w:numId w:val="29"/>
        </w:numPr>
        <w:rPr>
          <w:b/>
          <w:i/>
          <w:lang w:eastAsia="zh-CN"/>
        </w:rPr>
      </w:pPr>
      <w:r w:rsidRPr="00B12897">
        <w:rPr>
          <w:sz w:val="20"/>
          <w:szCs w:val="20"/>
          <w:lang w:val="en-US" w:eastAsia="zh-CN"/>
        </w:rPr>
        <w:t xml:space="preserve">The existing requirements assume measurement activity every 40ms; </w:t>
      </w:r>
      <w:r>
        <w:rPr>
          <w:sz w:val="20"/>
          <w:szCs w:val="20"/>
          <w:lang w:val="en-US" w:eastAsia="zh-CN"/>
        </w:rPr>
        <w:t>increasing the measurement duty cycle would significantly increase UE power consumption, and is also likely to have major design implications for the searcher hardware (e.g. the searcher has to perform offline processing more quickly due to the need to be ready in time to make the next measurement)</w:t>
      </w:r>
    </w:p>
    <w:p w:rsidR="00B12897" w:rsidRDefault="00B12897" w:rsidP="00B12897">
      <w:pPr>
        <w:rPr>
          <w:b/>
          <w:lang w:eastAsia="zh-CN"/>
        </w:rPr>
      </w:pPr>
    </w:p>
    <w:p w:rsidR="008F765F" w:rsidRDefault="00B12897" w:rsidP="00B12897">
      <w:pPr>
        <w:rPr>
          <w:b/>
          <w:lang w:eastAsia="zh-CN"/>
        </w:rPr>
      </w:pPr>
      <w:r>
        <w:rPr>
          <w:b/>
          <w:lang w:eastAsia="zh-CN"/>
        </w:rPr>
        <w:t xml:space="preserve">Proposal 1 : SCell </w:t>
      </w:r>
      <w:r w:rsidRPr="00B12897">
        <w:rPr>
          <w:b/>
          <w:i/>
          <w:lang w:eastAsia="zh-CN"/>
        </w:rPr>
        <w:t xml:space="preserve"> </w:t>
      </w:r>
      <w:r>
        <w:rPr>
          <w:b/>
          <w:lang w:eastAsia="zh-CN"/>
        </w:rPr>
        <w:t>non DRX requirements are not enhanced in release 16</w:t>
      </w:r>
    </w:p>
    <w:p w:rsidR="00B12897" w:rsidRDefault="00B12897" w:rsidP="00B12897">
      <w:pPr>
        <w:rPr>
          <w:lang w:eastAsia="zh-CN"/>
        </w:rPr>
      </w:pPr>
      <w:r>
        <w:rPr>
          <w:lang w:eastAsia="zh-CN"/>
        </w:rPr>
        <w:t xml:space="preserve">On the other hand, since LTE gives PSS/SSS every 5ms, and continuous CRS, there </w:t>
      </w:r>
      <w:r w:rsidR="00682811">
        <w:rPr>
          <w:lang w:eastAsia="zh-CN"/>
        </w:rPr>
        <w:t>is undoubtedly</w:t>
      </w:r>
      <w:r>
        <w:rPr>
          <w:lang w:eastAsia="zh-CN"/>
        </w:rPr>
        <w:t xml:space="preserve"> scope for improved SCC (and PCC) mobility performance</w:t>
      </w:r>
      <w:r w:rsidR="00682811">
        <w:rPr>
          <w:lang w:eastAsia="zh-CN"/>
        </w:rPr>
        <w:t xml:space="preserve"> at the cost of additional power consumption</w:t>
      </w:r>
      <w:r>
        <w:rPr>
          <w:lang w:eastAsia="zh-CN"/>
        </w:rPr>
        <w:t xml:space="preserve">, so we do not state this as a strong proposal if it is </w:t>
      </w:r>
      <w:r>
        <w:rPr>
          <w:lang w:eastAsia="zh-CN"/>
        </w:rPr>
        <w:lastRenderedPageBreak/>
        <w:t>demonstrated that it is necessary to perform faster mobility measurements for 500km/h operation.</w:t>
      </w:r>
      <w:r w:rsidR="00682811">
        <w:rPr>
          <w:lang w:eastAsia="zh-CN"/>
        </w:rPr>
        <w:t xml:space="preserve"> In the final analysis, it is better to use power to maintain a connection at 500km/h that to have a very high call drop rate, which leads to unusable devices and even higher power drain.</w:t>
      </w:r>
    </w:p>
    <w:p w:rsidR="00B12897" w:rsidRDefault="00B12897" w:rsidP="00B12897">
      <w:pPr>
        <w:pStyle w:val="Heading2"/>
        <w:rPr>
          <w:lang w:val="en-US" w:eastAsia="zh-CN"/>
        </w:rPr>
      </w:pPr>
      <w:r>
        <w:rPr>
          <w:lang w:val="en-US" w:eastAsia="zh-CN"/>
        </w:rPr>
        <w:t>Active Scell, DRX</w:t>
      </w:r>
    </w:p>
    <w:p w:rsidR="00B12897" w:rsidRDefault="00B12897" w:rsidP="00B12897">
      <w:pPr>
        <w:rPr>
          <w:lang w:val="en-US" w:eastAsia="zh-CN"/>
        </w:rPr>
      </w:pPr>
      <w:r>
        <w:rPr>
          <w:lang w:val="en-US" w:eastAsia="zh-CN"/>
        </w:rPr>
        <w:t>Considering the objective to “At least, extend Rel-14 RRM/demodulation enhancement to CA case”, it is necessary to define enhanced measurement requirements also for SCC. Considering that a relatively power efficient solution was chosen for release 14, it should be straightforward to apply the same requirements to SCC for the purposes of SCell management in high speed train operation. Naturally, there may be some UE power penalty, however it is typically impossible to reduce measurement delays without increased UE measurement activity, which automatically implies additional power consumption, and the enhancements are not requiring additional wakeup. Since SCell DRX in carrier aggregation is aligned with PCell DRX, there should be no significant concern on power consumption.</w:t>
      </w:r>
    </w:p>
    <w:p w:rsidR="00B813CB" w:rsidRPr="00DA3C1F" w:rsidRDefault="00B813CB" w:rsidP="00B813CB">
      <w:pPr>
        <w:rPr>
          <w:b/>
          <w:lang w:val="en-US" w:eastAsia="zh-CN"/>
        </w:rPr>
      </w:pPr>
      <w:r>
        <w:rPr>
          <w:b/>
          <w:lang w:val="en-US" w:eastAsia="zh-CN"/>
        </w:rPr>
        <w:t>Proposal 2: Enhanced intrafrequency cell identification and measurement period are defined for SCC in release 16 with the same values as for PCC in release 14</w:t>
      </w:r>
    </w:p>
    <w:p w:rsidR="00623F57" w:rsidRDefault="00623F57" w:rsidP="00623F57">
      <w:pPr>
        <w:pStyle w:val="Heading2"/>
        <w:rPr>
          <w:lang w:val="en-US" w:eastAsia="zh-CN"/>
        </w:rPr>
      </w:pPr>
      <w:r>
        <w:rPr>
          <w:lang w:val="en-US" w:eastAsia="zh-CN"/>
        </w:rPr>
        <w:t>Dectivated Scell, no common DRX is used</w:t>
      </w:r>
    </w:p>
    <w:p w:rsidR="00B12897" w:rsidRDefault="00623F57" w:rsidP="00B12897">
      <w:pPr>
        <w:rPr>
          <w:lang w:eastAsia="zh-CN"/>
        </w:rPr>
      </w:pPr>
      <w:r>
        <w:rPr>
          <w:lang w:eastAsia="zh-CN"/>
        </w:rPr>
        <w:t>Deactivated SCell measurement is performed according to a deactivated SCell measurement cycle, giving the requirements</w:t>
      </w:r>
    </w:p>
    <w:p w:rsidR="00623F57" w:rsidRDefault="00623F57" w:rsidP="00B12897">
      <w:pPr>
        <w:rPr>
          <w:i/>
        </w:rPr>
      </w:pPr>
      <w:r w:rsidRPr="00106722">
        <w:t>T</w:t>
      </w:r>
      <w:r w:rsidRPr="00106722">
        <w:rPr>
          <w:vertAlign w:val="subscript"/>
        </w:rPr>
        <w:t>identify_scc</w:t>
      </w:r>
      <w:r w:rsidRPr="00106722">
        <w:t xml:space="preserve"> = 20 </w:t>
      </w:r>
      <w:r w:rsidRPr="00106722">
        <w:rPr>
          <w:rFonts w:cs="v4.2.0"/>
          <w:i/>
        </w:rPr>
        <w:t>measCycleSCell</w:t>
      </w:r>
      <w:r>
        <w:rPr>
          <w:rFonts w:cs="v4.2.0"/>
        </w:rPr>
        <w:t xml:space="preserve"> and </w:t>
      </w:r>
      <w:r w:rsidRPr="00106722">
        <w:t>T</w:t>
      </w:r>
      <w:r w:rsidRPr="00106722">
        <w:rPr>
          <w:vertAlign w:val="subscript"/>
        </w:rPr>
        <w:t>measure_scc</w:t>
      </w:r>
      <w:r w:rsidRPr="00106722">
        <w:t xml:space="preserve"> = 5 </w:t>
      </w:r>
      <w:r w:rsidRPr="00106722">
        <w:rPr>
          <w:rFonts w:cs="v4.2.0"/>
          <w:i/>
        </w:rPr>
        <w:t>measCycleSCell</w:t>
      </w:r>
      <w:r w:rsidRPr="00106722">
        <w:t>.</w:t>
      </w:r>
    </w:p>
    <w:p w:rsidR="00623F57" w:rsidRDefault="00623F57" w:rsidP="00B12897">
      <w:pPr>
        <w:rPr>
          <w:lang w:eastAsia="zh-CN"/>
        </w:rPr>
      </w:pPr>
      <w:r>
        <w:rPr>
          <w:lang w:eastAsia="zh-CN"/>
        </w:rPr>
        <w:t>Given our view on the feasibility of proposal 2,  we also think it is feasible to enhance deactivated SCell measurements for high speed operation according to</w:t>
      </w:r>
    </w:p>
    <w:p w:rsidR="00623F57" w:rsidRDefault="00623F57" w:rsidP="00623F57">
      <w:pPr>
        <w:rPr>
          <w:i/>
        </w:rPr>
      </w:pPr>
      <w:r>
        <w:rPr>
          <w:b/>
          <w:lang w:eastAsia="zh-CN"/>
        </w:rPr>
        <w:t xml:space="preserve">Proposal 3: For release 16, deactivated SCell requirements when no common DRX is used is based on </w:t>
      </w:r>
      <w:r w:rsidRPr="00623F57">
        <w:rPr>
          <w:b/>
        </w:rPr>
        <w:t>T</w:t>
      </w:r>
      <w:r w:rsidRPr="00623F57">
        <w:rPr>
          <w:b/>
          <w:vertAlign w:val="subscript"/>
        </w:rPr>
        <w:t>identify_scc</w:t>
      </w:r>
      <w:r w:rsidRPr="00623F57">
        <w:rPr>
          <w:b/>
        </w:rPr>
        <w:t xml:space="preserve"> = 15 </w:t>
      </w:r>
      <w:r w:rsidRPr="00623F57">
        <w:rPr>
          <w:rFonts w:cs="v4.2.0"/>
          <w:b/>
          <w:i/>
        </w:rPr>
        <w:t>measCycleSCell</w:t>
      </w:r>
      <w:r w:rsidRPr="00623F57">
        <w:rPr>
          <w:rFonts w:cs="v4.2.0"/>
          <w:b/>
        </w:rPr>
        <w:t xml:space="preserve"> and </w:t>
      </w:r>
      <w:r w:rsidRPr="00623F57">
        <w:rPr>
          <w:b/>
        </w:rPr>
        <w:t>T</w:t>
      </w:r>
      <w:r w:rsidRPr="00623F57">
        <w:rPr>
          <w:b/>
          <w:vertAlign w:val="subscript"/>
        </w:rPr>
        <w:t>measure_scc</w:t>
      </w:r>
      <w:r w:rsidRPr="00623F57">
        <w:rPr>
          <w:b/>
        </w:rPr>
        <w:t xml:space="preserve"> = 3 </w:t>
      </w:r>
      <w:r w:rsidRPr="00623F57">
        <w:rPr>
          <w:rFonts w:cs="v4.2.0"/>
          <w:b/>
          <w:i/>
        </w:rPr>
        <w:t>measCycleSCell</w:t>
      </w:r>
      <w:r w:rsidRPr="00623F57">
        <w:rPr>
          <w:b/>
        </w:rPr>
        <w:t>.</w:t>
      </w:r>
    </w:p>
    <w:p w:rsidR="00623F57" w:rsidRDefault="00623F57" w:rsidP="00623F57">
      <w:pPr>
        <w:pStyle w:val="Heading2"/>
        <w:rPr>
          <w:lang w:val="en-US" w:eastAsia="zh-CN"/>
        </w:rPr>
      </w:pPr>
      <w:r>
        <w:rPr>
          <w:lang w:val="en-US" w:eastAsia="zh-CN"/>
        </w:rPr>
        <w:t>Dectivated Scell, common DRX is used</w:t>
      </w:r>
    </w:p>
    <w:p w:rsidR="005054DA" w:rsidRDefault="005054DA" w:rsidP="005054DA">
      <w:pPr>
        <w:rPr>
          <w:lang w:val="en-US" w:eastAsia="zh-CN"/>
        </w:rPr>
      </w:pPr>
      <w:r>
        <w:rPr>
          <w:lang w:val="en-US" w:eastAsia="zh-CN"/>
        </w:rPr>
        <w:t xml:space="preserve">Following a similar </w:t>
      </w:r>
      <w:r w:rsidR="00344F3A">
        <w:rPr>
          <w:lang w:val="en-US" w:eastAsia="zh-CN"/>
        </w:rPr>
        <w:t xml:space="preserve">and consistent </w:t>
      </w:r>
      <w:r>
        <w:rPr>
          <w:lang w:val="en-US" w:eastAsia="zh-CN"/>
        </w:rPr>
        <w:t>approach</w:t>
      </w:r>
      <w:r w:rsidR="00344F3A">
        <w:rPr>
          <w:lang w:val="en-US" w:eastAsia="zh-CN"/>
        </w:rPr>
        <w:t>, we propose</w:t>
      </w:r>
    </w:p>
    <w:p w:rsidR="00344F3A" w:rsidRPr="00344F3A" w:rsidRDefault="00344F3A" w:rsidP="00344F3A">
      <w:pPr>
        <w:rPr>
          <w:b/>
        </w:rPr>
      </w:pPr>
      <w:r>
        <w:rPr>
          <w:b/>
        </w:rPr>
        <w:t xml:space="preserve">Proposal 4: </w:t>
      </w:r>
      <w:r>
        <w:rPr>
          <w:b/>
          <w:lang w:eastAsia="zh-CN"/>
        </w:rPr>
        <w:t xml:space="preserve">For release 16, deactivated SCell requirements when common DRX is used is based </w:t>
      </w:r>
      <w:r w:rsidRPr="00344F3A">
        <w:rPr>
          <w:b/>
          <w:lang w:eastAsia="zh-CN"/>
        </w:rPr>
        <w:t xml:space="preserve">on </w:t>
      </w:r>
      <w:r w:rsidRPr="00344F3A">
        <w:rPr>
          <w:b/>
        </w:rPr>
        <w:t>T</w:t>
      </w:r>
      <w:r w:rsidRPr="00344F3A">
        <w:rPr>
          <w:b/>
          <w:vertAlign w:val="subscript"/>
        </w:rPr>
        <w:t>identify_scc</w:t>
      </w:r>
      <w:r w:rsidRPr="00344F3A">
        <w:rPr>
          <w:b/>
        </w:rPr>
        <w:t xml:space="preserve"> = max(15 </w:t>
      </w:r>
      <w:r w:rsidRPr="00344F3A">
        <w:rPr>
          <w:rFonts w:cs="v4.2.0"/>
          <w:b/>
          <w:i/>
        </w:rPr>
        <w:t>measCycleSCell</w:t>
      </w:r>
      <w:r w:rsidRPr="00344F3A">
        <w:rPr>
          <w:b/>
        </w:rPr>
        <w:t>, T</w:t>
      </w:r>
      <w:r w:rsidRPr="00344F3A">
        <w:rPr>
          <w:b/>
          <w:vertAlign w:val="subscript"/>
        </w:rPr>
        <w:t>identify_scc1</w:t>
      </w:r>
      <w:r w:rsidRPr="00344F3A">
        <w:rPr>
          <w:b/>
        </w:rPr>
        <w:t>).  T</w:t>
      </w:r>
      <w:r w:rsidRPr="00344F3A">
        <w:rPr>
          <w:b/>
          <w:vertAlign w:val="subscript"/>
        </w:rPr>
        <w:t>identify_scc1</w:t>
      </w:r>
      <w:r w:rsidRPr="00344F3A">
        <w:rPr>
          <w:b/>
        </w:rPr>
        <w:t xml:space="preserve"> is given in table 1</w:t>
      </w:r>
    </w:p>
    <w:p w:rsidR="00344F3A" w:rsidRPr="00344F3A" w:rsidRDefault="00344F3A" w:rsidP="00344F3A">
      <w:pPr>
        <w:pStyle w:val="TH"/>
      </w:pPr>
      <w:r w:rsidRPr="00344F3A">
        <w:rPr>
          <w:snapToGrid w:val="0"/>
        </w:rPr>
        <w:t xml:space="preserve">Table </w:t>
      </w:r>
      <w:r w:rsidRPr="00344F3A">
        <w:t>1</w:t>
      </w:r>
      <w:r w:rsidRPr="00344F3A">
        <w:rPr>
          <w:snapToGrid w:val="0"/>
        </w:rPr>
        <w:t xml:space="preserve">: </w:t>
      </w:r>
      <w:r w:rsidRPr="00344F3A">
        <w:t xml:space="preserve">Requirement for </w:t>
      </w:r>
      <w:r w:rsidRPr="00344F3A">
        <w:rPr>
          <w:rFonts w:cs="v4.2.0"/>
        </w:rPr>
        <w:t>T</w:t>
      </w:r>
      <w:r w:rsidRPr="00344F3A">
        <w:rPr>
          <w:rFonts w:cs="v4.2.0"/>
          <w:vertAlign w:val="subscript"/>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2160"/>
      </w:tblGrid>
      <w:tr w:rsidR="00344F3A" w:rsidRPr="00344F3A" w:rsidTr="00344F3A">
        <w:trPr>
          <w:cantSplit/>
          <w:jc w:val="center"/>
        </w:trPr>
        <w:tc>
          <w:tcPr>
            <w:tcW w:w="2182" w:type="pct"/>
          </w:tcPr>
          <w:p w:rsidR="00344F3A" w:rsidRPr="00344F3A" w:rsidRDefault="00344F3A" w:rsidP="00D55313">
            <w:pPr>
              <w:pStyle w:val="TAH"/>
              <w:rPr>
                <w:rFonts w:cs="Arial"/>
                <w:lang w:eastAsia="en-US"/>
              </w:rPr>
            </w:pPr>
            <w:r w:rsidRPr="00344F3A">
              <w:rPr>
                <w:rFonts w:cs="Arial"/>
                <w:lang w:eastAsia="en-US"/>
              </w:rPr>
              <w:t>DRX cycle length (s)</w:t>
            </w:r>
          </w:p>
        </w:tc>
        <w:tc>
          <w:tcPr>
            <w:tcW w:w="2818" w:type="pct"/>
          </w:tcPr>
          <w:p w:rsidR="00344F3A" w:rsidRPr="00344F3A" w:rsidRDefault="00344F3A" w:rsidP="00D55313">
            <w:pPr>
              <w:pStyle w:val="TAH"/>
              <w:rPr>
                <w:rFonts w:cs="Arial"/>
                <w:lang w:eastAsia="en-US"/>
              </w:rPr>
            </w:pPr>
            <w:r w:rsidRPr="00344F3A">
              <w:rPr>
                <w:rFonts w:cs="v4.2.0"/>
                <w:lang w:eastAsia="en-US"/>
              </w:rPr>
              <w:t>T</w:t>
            </w:r>
            <w:r w:rsidRPr="00344F3A">
              <w:rPr>
                <w:rFonts w:cs="v4.2.0"/>
                <w:vertAlign w:val="subscript"/>
                <w:lang w:eastAsia="en-US"/>
              </w:rPr>
              <w:t>identify_scc1</w:t>
            </w:r>
            <w:r w:rsidRPr="00344F3A">
              <w:rPr>
                <w:rFonts w:cs="Arial"/>
                <w:lang w:eastAsia="en-US"/>
              </w:rPr>
              <w:t xml:space="preserve"> (s) (DRX cycles)</w:t>
            </w:r>
          </w:p>
        </w:tc>
      </w:tr>
      <w:tr w:rsidR="00344F3A" w:rsidRPr="00344F3A" w:rsidTr="00344F3A">
        <w:trPr>
          <w:cantSplit/>
          <w:jc w:val="center"/>
        </w:trPr>
        <w:tc>
          <w:tcPr>
            <w:tcW w:w="2182" w:type="pct"/>
          </w:tcPr>
          <w:p w:rsidR="00344F3A" w:rsidRPr="00344F3A" w:rsidRDefault="00344F3A" w:rsidP="00344F3A">
            <w:pPr>
              <w:pStyle w:val="TAC"/>
              <w:rPr>
                <w:rFonts w:cs="Arial"/>
                <w:b/>
              </w:rPr>
            </w:pPr>
            <w:r w:rsidRPr="00344F3A">
              <w:rPr>
                <w:rFonts w:cs="Arial"/>
                <w:b/>
              </w:rPr>
              <w:t>≤0.04</w:t>
            </w:r>
          </w:p>
        </w:tc>
        <w:tc>
          <w:tcPr>
            <w:tcW w:w="2818" w:type="pct"/>
          </w:tcPr>
          <w:p w:rsidR="00344F3A" w:rsidRPr="00344F3A" w:rsidRDefault="00344F3A" w:rsidP="00344F3A">
            <w:pPr>
              <w:pStyle w:val="TAC"/>
              <w:rPr>
                <w:rFonts w:cs="Arial"/>
                <w:b/>
                <w:lang w:eastAsia="ja-JP"/>
              </w:rPr>
            </w:pPr>
            <w:r w:rsidRPr="00344F3A">
              <w:rPr>
                <w:rFonts w:cs="Arial"/>
                <w:b/>
                <w:lang w:eastAsia="ja-JP"/>
              </w:rPr>
              <w:t>0.8 (Note1)</w:t>
            </w:r>
          </w:p>
        </w:tc>
      </w:tr>
      <w:tr w:rsidR="00344F3A" w:rsidRPr="00344F3A" w:rsidTr="00344F3A">
        <w:trPr>
          <w:cantSplit/>
          <w:jc w:val="center"/>
        </w:trPr>
        <w:tc>
          <w:tcPr>
            <w:tcW w:w="2182" w:type="pct"/>
          </w:tcPr>
          <w:p w:rsidR="00344F3A" w:rsidRPr="00344F3A" w:rsidRDefault="00344F3A" w:rsidP="00344F3A">
            <w:pPr>
              <w:pStyle w:val="TAC"/>
              <w:rPr>
                <w:rFonts w:cs="Arial"/>
                <w:b/>
                <w:snapToGrid w:val="0"/>
              </w:rPr>
            </w:pPr>
            <w:r w:rsidRPr="00344F3A">
              <w:rPr>
                <w:rFonts w:cs="Arial"/>
                <w:b/>
              </w:rPr>
              <w:t>0.04&lt;DRX-cycle≤0.08</w:t>
            </w:r>
          </w:p>
        </w:tc>
        <w:tc>
          <w:tcPr>
            <w:tcW w:w="2818" w:type="pct"/>
          </w:tcPr>
          <w:p w:rsidR="00344F3A" w:rsidRPr="00344F3A" w:rsidRDefault="00344F3A" w:rsidP="00344F3A">
            <w:pPr>
              <w:pStyle w:val="TAC"/>
              <w:rPr>
                <w:rFonts w:cs="Arial"/>
                <w:b/>
                <w:lang w:eastAsia="ja-JP"/>
              </w:rPr>
            </w:pPr>
            <w:r w:rsidRPr="00344F3A">
              <w:rPr>
                <w:rFonts w:cs="Arial"/>
                <w:b/>
                <w:lang w:eastAsia="ja-JP"/>
              </w:rPr>
              <w:t>Note2(</w:t>
            </w:r>
            <w:r w:rsidRPr="00344F3A">
              <w:rPr>
                <w:rFonts w:cs="Arial" w:hint="eastAsia"/>
                <w:b/>
                <w:lang w:eastAsia="zh-CN"/>
              </w:rPr>
              <w:t>15</w:t>
            </w:r>
            <w:r w:rsidRPr="00344F3A">
              <w:rPr>
                <w:rFonts w:cs="Arial"/>
                <w:b/>
                <w:lang w:eastAsia="ja-JP"/>
              </w:rPr>
              <w:t>)</w:t>
            </w:r>
          </w:p>
        </w:tc>
      </w:tr>
      <w:tr w:rsidR="00344F3A" w:rsidRPr="00344F3A" w:rsidTr="00344F3A">
        <w:trPr>
          <w:cantSplit/>
          <w:jc w:val="center"/>
        </w:trPr>
        <w:tc>
          <w:tcPr>
            <w:tcW w:w="2182" w:type="pct"/>
          </w:tcPr>
          <w:p w:rsidR="00344F3A" w:rsidRPr="00344F3A" w:rsidRDefault="00344F3A" w:rsidP="00344F3A">
            <w:pPr>
              <w:pStyle w:val="TAC"/>
              <w:rPr>
                <w:rFonts w:cs="Arial"/>
                <w:b/>
              </w:rPr>
            </w:pPr>
            <w:r w:rsidRPr="00344F3A">
              <w:rPr>
                <w:rFonts w:cs="Arial"/>
                <w:b/>
              </w:rPr>
              <w:t>0.128</w:t>
            </w:r>
          </w:p>
        </w:tc>
        <w:tc>
          <w:tcPr>
            <w:tcW w:w="2818" w:type="pct"/>
          </w:tcPr>
          <w:p w:rsidR="00344F3A" w:rsidRPr="00344F3A" w:rsidRDefault="00344F3A" w:rsidP="00344F3A">
            <w:pPr>
              <w:pStyle w:val="TAC"/>
              <w:rPr>
                <w:rFonts w:cs="Arial"/>
                <w:b/>
                <w:snapToGrid w:val="0"/>
                <w:lang w:eastAsia="ja-JP"/>
              </w:rPr>
            </w:pPr>
            <w:r w:rsidRPr="00344F3A">
              <w:rPr>
                <w:rFonts w:cs="Arial"/>
                <w:b/>
                <w:lang w:eastAsia="ja-JP"/>
              </w:rPr>
              <w:t>Note2(</w:t>
            </w:r>
            <w:r w:rsidRPr="00344F3A">
              <w:rPr>
                <w:rFonts w:cs="Arial" w:hint="eastAsia"/>
                <w:b/>
                <w:lang w:eastAsia="zh-CN"/>
              </w:rPr>
              <w:t>10</w:t>
            </w:r>
            <w:r w:rsidRPr="00344F3A">
              <w:rPr>
                <w:rFonts w:cs="Arial"/>
                <w:b/>
                <w:lang w:eastAsia="ja-JP"/>
              </w:rPr>
              <w:t>)</w:t>
            </w:r>
          </w:p>
        </w:tc>
      </w:tr>
      <w:tr w:rsidR="00344F3A" w:rsidRPr="00344F3A" w:rsidTr="00344F3A">
        <w:trPr>
          <w:cantSplit/>
          <w:jc w:val="center"/>
        </w:trPr>
        <w:tc>
          <w:tcPr>
            <w:tcW w:w="2182" w:type="pct"/>
          </w:tcPr>
          <w:p w:rsidR="00344F3A" w:rsidRPr="00344F3A" w:rsidRDefault="00344F3A" w:rsidP="00344F3A">
            <w:pPr>
              <w:pStyle w:val="TAC"/>
              <w:rPr>
                <w:rFonts w:cs="Arial"/>
                <w:b/>
                <w:snapToGrid w:val="0"/>
              </w:rPr>
            </w:pPr>
            <w:r w:rsidRPr="00344F3A">
              <w:rPr>
                <w:rFonts w:cs="Arial"/>
                <w:b/>
              </w:rPr>
              <w:t>0.128&lt;DRX-cycle≤2.56</w:t>
            </w:r>
          </w:p>
        </w:tc>
        <w:tc>
          <w:tcPr>
            <w:tcW w:w="2818" w:type="pct"/>
          </w:tcPr>
          <w:p w:rsidR="00344F3A" w:rsidRPr="00344F3A" w:rsidRDefault="00344F3A" w:rsidP="00344F3A">
            <w:pPr>
              <w:pStyle w:val="TAC"/>
              <w:rPr>
                <w:rFonts w:cs="Arial"/>
                <w:b/>
                <w:lang w:eastAsia="ja-JP"/>
              </w:rPr>
            </w:pPr>
            <w:r w:rsidRPr="00344F3A">
              <w:rPr>
                <w:rFonts w:cs="Arial"/>
                <w:b/>
                <w:lang w:eastAsia="ja-JP"/>
              </w:rPr>
              <w:t>Note2(20)</w:t>
            </w:r>
          </w:p>
        </w:tc>
      </w:tr>
      <w:tr w:rsidR="00344F3A" w:rsidRPr="00344F3A" w:rsidTr="00D55313">
        <w:trPr>
          <w:cantSplit/>
          <w:jc w:val="center"/>
        </w:trPr>
        <w:tc>
          <w:tcPr>
            <w:tcW w:w="5000" w:type="pct"/>
            <w:gridSpan w:val="2"/>
          </w:tcPr>
          <w:p w:rsidR="00344F3A" w:rsidRPr="00344F3A" w:rsidRDefault="00344F3A" w:rsidP="00D55313">
            <w:pPr>
              <w:pStyle w:val="TAN"/>
              <w:rPr>
                <w:rFonts w:cs="Arial"/>
                <w:b/>
                <w:lang w:eastAsia="en-US"/>
              </w:rPr>
            </w:pPr>
            <w:r w:rsidRPr="00344F3A">
              <w:rPr>
                <w:rFonts w:cs="Arial"/>
                <w:b/>
                <w:lang w:eastAsia="en-US"/>
              </w:rPr>
              <w:t>Note1:</w:t>
            </w:r>
            <w:r w:rsidRPr="00344F3A">
              <w:rPr>
                <w:rFonts w:cs="Arial"/>
                <w:b/>
                <w:lang w:eastAsia="en-US"/>
              </w:rPr>
              <w:tab/>
              <w:t>Number of DRX cycle depends upon the DRX cycle in use</w:t>
            </w:r>
          </w:p>
          <w:p w:rsidR="00344F3A" w:rsidRPr="00344F3A" w:rsidRDefault="00344F3A" w:rsidP="00D55313">
            <w:pPr>
              <w:pStyle w:val="TAN"/>
              <w:rPr>
                <w:rFonts w:cs="Arial"/>
                <w:b/>
                <w:lang w:eastAsia="en-US"/>
              </w:rPr>
            </w:pPr>
            <w:r w:rsidRPr="00344F3A">
              <w:rPr>
                <w:rFonts w:cs="Arial"/>
                <w:b/>
                <w:lang w:eastAsia="en-US"/>
              </w:rPr>
              <w:t>Note2:</w:t>
            </w:r>
            <w:r w:rsidRPr="00344F3A">
              <w:rPr>
                <w:rFonts w:cs="Arial"/>
                <w:b/>
                <w:lang w:eastAsia="en-US"/>
              </w:rPr>
              <w:tab/>
              <w:t>Time depends upon the DRX cycle in use</w:t>
            </w:r>
          </w:p>
        </w:tc>
      </w:tr>
    </w:tbl>
    <w:p w:rsidR="00344F3A" w:rsidRDefault="00344F3A" w:rsidP="005054DA">
      <w:pPr>
        <w:rPr>
          <w:b/>
        </w:rPr>
      </w:pPr>
      <w:r>
        <w:rPr>
          <w:b/>
          <w:lang w:val="en-US" w:eastAsia="zh-CN"/>
        </w:rPr>
        <w:t xml:space="preserve">Proposal 5: </w:t>
      </w:r>
      <w:r>
        <w:rPr>
          <w:b/>
          <w:lang w:eastAsia="zh-CN"/>
        </w:rPr>
        <w:t>For release 16, deactivated SCell require</w:t>
      </w:r>
      <w:r w:rsidRPr="00344F3A">
        <w:rPr>
          <w:b/>
          <w:lang w:eastAsia="zh-CN"/>
        </w:rPr>
        <w:t xml:space="preserve">ments when common DRX is used is based on </w:t>
      </w:r>
      <w:r w:rsidRPr="00344F3A">
        <w:rPr>
          <w:b/>
        </w:rPr>
        <w:t>T</w:t>
      </w:r>
      <w:r w:rsidRPr="00344F3A">
        <w:rPr>
          <w:b/>
          <w:vertAlign w:val="subscript"/>
        </w:rPr>
        <w:t>measure_scc</w:t>
      </w:r>
      <w:r w:rsidRPr="00344F3A">
        <w:rPr>
          <w:b/>
        </w:rPr>
        <w:t xml:space="preserve"> =max( </w:t>
      </w:r>
      <w:r>
        <w:rPr>
          <w:b/>
        </w:rPr>
        <w:t>3</w:t>
      </w:r>
      <w:r w:rsidRPr="00344F3A">
        <w:rPr>
          <w:b/>
        </w:rPr>
        <w:t xml:space="preserve"> </w:t>
      </w:r>
      <w:r w:rsidRPr="00344F3A">
        <w:rPr>
          <w:b/>
          <w:i/>
        </w:rPr>
        <w:t>measCycleSCell</w:t>
      </w:r>
      <w:r w:rsidRPr="00344F3A">
        <w:rPr>
          <w:b/>
        </w:rPr>
        <w:t>, T</w:t>
      </w:r>
      <w:r w:rsidRPr="00344F3A">
        <w:rPr>
          <w:b/>
          <w:vertAlign w:val="subscript"/>
        </w:rPr>
        <w:t>measure_scc1</w:t>
      </w:r>
      <w:r w:rsidRPr="00344F3A">
        <w:rPr>
          <w:b/>
        </w:rPr>
        <w:t>).</w:t>
      </w:r>
    </w:p>
    <w:p w:rsidR="00344F3A" w:rsidRPr="00344F3A" w:rsidRDefault="00344F3A" w:rsidP="00344F3A">
      <w:pPr>
        <w:pStyle w:val="TH"/>
      </w:pPr>
      <w:r>
        <w:rPr>
          <w:b w:val="0"/>
        </w:rPr>
        <w:tab/>
      </w:r>
      <w:r w:rsidRPr="00344F3A">
        <w:rPr>
          <w:snapToGrid w:val="0"/>
        </w:rPr>
        <w:t xml:space="preserve">Table </w:t>
      </w:r>
      <w:r>
        <w:t>2</w:t>
      </w:r>
      <w:r w:rsidRPr="00344F3A">
        <w:rPr>
          <w:snapToGrid w:val="0"/>
        </w:rPr>
        <w:t xml:space="preserve">: </w:t>
      </w:r>
      <w:r w:rsidRPr="00344F3A">
        <w:t xml:space="preserve">Requirement for </w:t>
      </w:r>
      <w:r w:rsidRPr="00344F3A">
        <w:rPr>
          <w:rFonts w:cs="v4.2.0"/>
        </w:rPr>
        <w:t>T</w:t>
      </w:r>
      <w:r>
        <w:rPr>
          <w:rFonts w:cs="v4.2.0"/>
          <w:vertAlign w:val="subscript"/>
        </w:rPr>
        <w:t>measure</w:t>
      </w:r>
      <w:r w:rsidRPr="00344F3A">
        <w:rPr>
          <w:rFonts w:cs="v4.2.0"/>
          <w:vertAlign w:val="subscript"/>
        </w:rPr>
        <w:t>_scc1</w:t>
      </w:r>
    </w:p>
    <w:p w:rsidR="00344F3A" w:rsidRDefault="00344F3A" w:rsidP="005054DA">
      <w:pPr>
        <w:rPr>
          <w:b/>
        </w:rPr>
      </w:pP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6"/>
        <w:gridCol w:w="1944"/>
      </w:tblGrid>
      <w:tr w:rsidR="00344F3A" w:rsidRPr="00344F3A" w:rsidTr="00D55313">
        <w:trPr>
          <w:cantSplit/>
          <w:jc w:val="center"/>
        </w:trPr>
        <w:tc>
          <w:tcPr>
            <w:tcW w:w="2124" w:type="pct"/>
          </w:tcPr>
          <w:p w:rsidR="00344F3A" w:rsidRPr="00344F3A" w:rsidRDefault="00344F3A" w:rsidP="00D55313">
            <w:pPr>
              <w:pStyle w:val="TAH"/>
              <w:rPr>
                <w:rFonts w:cs="Arial"/>
                <w:lang w:eastAsia="en-US"/>
              </w:rPr>
            </w:pPr>
            <w:r w:rsidRPr="00344F3A">
              <w:rPr>
                <w:rFonts w:cs="Arial"/>
                <w:lang w:eastAsia="en-US"/>
              </w:rPr>
              <w:lastRenderedPageBreak/>
              <w:t>DRX cycle length (s)</w:t>
            </w:r>
          </w:p>
        </w:tc>
        <w:tc>
          <w:tcPr>
            <w:tcW w:w="2876" w:type="pct"/>
          </w:tcPr>
          <w:p w:rsidR="00344F3A" w:rsidRPr="00344F3A" w:rsidRDefault="00344F3A" w:rsidP="00D55313">
            <w:pPr>
              <w:pStyle w:val="TAH"/>
              <w:rPr>
                <w:rFonts w:cs="Arial"/>
                <w:lang w:eastAsia="en-US"/>
              </w:rPr>
            </w:pPr>
            <w:r w:rsidRPr="00344F3A">
              <w:rPr>
                <w:rFonts w:cs="Arial"/>
                <w:lang w:eastAsia="en-US"/>
              </w:rPr>
              <w:t>T</w:t>
            </w:r>
            <w:r w:rsidRPr="00344F3A">
              <w:rPr>
                <w:rFonts w:cs="Arial"/>
                <w:vertAlign w:val="subscript"/>
                <w:lang w:eastAsia="en-US"/>
              </w:rPr>
              <w:t xml:space="preserve">measure_scc1 </w:t>
            </w:r>
            <w:r w:rsidRPr="00344F3A">
              <w:rPr>
                <w:rFonts w:cs="Arial"/>
                <w:lang w:eastAsia="en-US"/>
              </w:rPr>
              <w:t>(s) (DRX cycles)</w:t>
            </w:r>
          </w:p>
        </w:tc>
      </w:tr>
      <w:tr w:rsidR="00344F3A" w:rsidRPr="00344F3A" w:rsidTr="00D55313">
        <w:trPr>
          <w:cantSplit/>
          <w:jc w:val="center"/>
        </w:trPr>
        <w:tc>
          <w:tcPr>
            <w:tcW w:w="2124" w:type="pct"/>
          </w:tcPr>
          <w:p w:rsidR="00344F3A" w:rsidRPr="00344F3A" w:rsidRDefault="00344F3A" w:rsidP="00D55313">
            <w:pPr>
              <w:pStyle w:val="TAC"/>
              <w:rPr>
                <w:rFonts w:cs="Arial"/>
                <w:b/>
              </w:rPr>
            </w:pPr>
            <w:r w:rsidRPr="00344F3A">
              <w:rPr>
                <w:rFonts w:cs="Arial"/>
                <w:b/>
              </w:rPr>
              <w:t>≤0.04</w:t>
            </w:r>
          </w:p>
        </w:tc>
        <w:tc>
          <w:tcPr>
            <w:tcW w:w="2876" w:type="pct"/>
          </w:tcPr>
          <w:p w:rsidR="00344F3A" w:rsidRPr="00344F3A" w:rsidRDefault="00344F3A" w:rsidP="00D55313">
            <w:pPr>
              <w:pStyle w:val="TAC"/>
              <w:rPr>
                <w:rFonts w:cs="Arial"/>
                <w:b/>
              </w:rPr>
            </w:pPr>
            <w:r w:rsidRPr="00344F3A">
              <w:rPr>
                <w:rFonts w:cs="Arial"/>
                <w:b/>
              </w:rPr>
              <w:t>0.2 (Note1)</w:t>
            </w:r>
          </w:p>
        </w:tc>
      </w:tr>
      <w:tr w:rsidR="00344F3A" w:rsidRPr="00344F3A" w:rsidTr="00D55313">
        <w:trPr>
          <w:cantSplit/>
          <w:jc w:val="center"/>
        </w:trPr>
        <w:tc>
          <w:tcPr>
            <w:tcW w:w="2124" w:type="pct"/>
          </w:tcPr>
          <w:p w:rsidR="00344F3A" w:rsidRPr="00344F3A" w:rsidRDefault="00344F3A" w:rsidP="00D55313">
            <w:pPr>
              <w:pStyle w:val="TAC"/>
              <w:rPr>
                <w:rFonts w:cs="Arial"/>
                <w:b/>
                <w:snapToGrid w:val="0"/>
              </w:rPr>
            </w:pPr>
            <w:r w:rsidRPr="00344F3A">
              <w:rPr>
                <w:rFonts w:cs="Arial"/>
                <w:b/>
              </w:rPr>
              <w:t>0.04&lt;DRX-cycle≤2.56</w:t>
            </w:r>
          </w:p>
        </w:tc>
        <w:tc>
          <w:tcPr>
            <w:tcW w:w="2876" w:type="pct"/>
          </w:tcPr>
          <w:p w:rsidR="00344F3A" w:rsidRPr="00344F3A" w:rsidRDefault="00344F3A" w:rsidP="00D55313">
            <w:pPr>
              <w:pStyle w:val="TAC"/>
              <w:rPr>
                <w:rFonts w:cs="Arial"/>
                <w:b/>
                <w:snapToGrid w:val="0"/>
              </w:rPr>
            </w:pPr>
            <w:r w:rsidRPr="00344F3A">
              <w:rPr>
                <w:rFonts w:cs="Arial"/>
                <w:b/>
              </w:rPr>
              <w:t>Note2 (3)</w:t>
            </w:r>
          </w:p>
        </w:tc>
      </w:tr>
      <w:tr w:rsidR="00344F3A" w:rsidRPr="00344F3A" w:rsidTr="00D55313">
        <w:trPr>
          <w:cantSplit/>
          <w:jc w:val="center"/>
        </w:trPr>
        <w:tc>
          <w:tcPr>
            <w:tcW w:w="5000" w:type="pct"/>
            <w:gridSpan w:val="2"/>
          </w:tcPr>
          <w:p w:rsidR="00344F3A" w:rsidRPr="00344F3A" w:rsidRDefault="00344F3A" w:rsidP="00D55313">
            <w:pPr>
              <w:pStyle w:val="TAC"/>
              <w:rPr>
                <w:rFonts w:cs="Arial"/>
                <w:b/>
              </w:rPr>
            </w:pPr>
            <w:r w:rsidRPr="00344F3A">
              <w:rPr>
                <w:rFonts w:cs="Arial"/>
                <w:b/>
              </w:rPr>
              <w:t>Note1: Number of DRX cycle depends upon the DRX cycle in use</w:t>
            </w:r>
          </w:p>
          <w:p w:rsidR="00344F3A" w:rsidRPr="00344F3A" w:rsidRDefault="00344F3A" w:rsidP="00D55313">
            <w:pPr>
              <w:pStyle w:val="TAC"/>
              <w:rPr>
                <w:rFonts w:cs="Arial"/>
                <w:b/>
              </w:rPr>
            </w:pPr>
            <w:r w:rsidRPr="00344F3A">
              <w:rPr>
                <w:rFonts w:cs="Arial"/>
                <w:b/>
              </w:rPr>
              <w:t>Note2: Time depends upon the DRX cycle in use</w:t>
            </w:r>
          </w:p>
        </w:tc>
      </w:tr>
    </w:tbl>
    <w:p w:rsidR="00344F3A" w:rsidRPr="00344F3A" w:rsidRDefault="00344F3A" w:rsidP="005054DA">
      <w:pPr>
        <w:rPr>
          <w:b/>
          <w:lang w:val="en-US" w:eastAsia="zh-CN"/>
        </w:rPr>
      </w:pPr>
    </w:p>
    <w:p w:rsidR="00B04BD2" w:rsidRDefault="00B04BD2" w:rsidP="00344F3A">
      <w:pPr>
        <w:pStyle w:val="Heading2"/>
        <w:rPr>
          <w:lang w:val="en-US" w:eastAsia="zh-CN"/>
        </w:rPr>
      </w:pPr>
      <w:r>
        <w:rPr>
          <w:lang w:val="en-US" w:eastAsia="zh-CN"/>
        </w:rPr>
        <w:t>Interruption aspects</w:t>
      </w:r>
    </w:p>
    <w:p w:rsidR="00B04BD2" w:rsidRPr="00B04BD2" w:rsidRDefault="00B04BD2" w:rsidP="00B04BD2">
      <w:pPr>
        <w:rPr>
          <w:lang w:val="en-US" w:eastAsia="zh-CN"/>
        </w:rPr>
      </w:pPr>
      <w:r>
        <w:rPr>
          <w:lang w:val="en-US" w:eastAsia="zh-CN"/>
        </w:rPr>
        <w:t>Since the UE still needs to perform measurements according to the deactivated SCell measurement cycle, we do not consider there is an impact to interruption requirements.</w:t>
      </w:r>
    </w:p>
    <w:p w:rsidR="00344F3A" w:rsidRDefault="00682811" w:rsidP="00344F3A">
      <w:pPr>
        <w:pStyle w:val="Heading2"/>
        <w:rPr>
          <w:lang w:val="en-US" w:eastAsia="zh-CN"/>
        </w:rPr>
      </w:pPr>
      <w:r>
        <w:rPr>
          <w:lang w:val="en-US" w:eastAsia="zh-CN"/>
        </w:rPr>
        <w:t>Signaling</w:t>
      </w:r>
      <w:r w:rsidR="00344F3A">
        <w:rPr>
          <w:lang w:val="en-US" w:eastAsia="zh-CN"/>
        </w:rPr>
        <w:t xml:space="preserve"> aspects</w:t>
      </w:r>
    </w:p>
    <w:p w:rsidR="00344F3A" w:rsidRDefault="00344F3A" w:rsidP="00344F3A">
      <w:pPr>
        <w:rPr>
          <w:lang w:val="en-US" w:eastAsia="zh-CN"/>
        </w:rPr>
      </w:pPr>
      <w:r>
        <w:rPr>
          <w:lang w:val="en-US" w:eastAsia="zh-CN"/>
        </w:rPr>
        <w:t>Next, we consider whether it is necessary for the network to independently configure high speed measurements for the SCC(s) and PCC. Given that the UE is either operating in high speed condition or it is not, we do not see a compelling reason for independent configuration, although there is also no significant problem with an independent configuration. However, we propose:</w:t>
      </w:r>
    </w:p>
    <w:p w:rsidR="00344F3A" w:rsidRDefault="00344F3A" w:rsidP="00344F3A">
      <w:pPr>
        <w:rPr>
          <w:b/>
          <w:lang w:val="en-US" w:eastAsia="zh-CN"/>
        </w:rPr>
      </w:pPr>
      <w:r>
        <w:rPr>
          <w:b/>
          <w:lang w:val="en-US" w:eastAsia="zh-CN"/>
        </w:rPr>
        <w:t xml:space="preserve">Proposal 6: Enhanced intrafrequency cell identification and measurement period for SCC are configured with the existing </w:t>
      </w:r>
      <w:r w:rsidRPr="00DA3C1F">
        <w:rPr>
          <w:b/>
          <w:lang w:val="en-US" w:eastAsia="zh-CN"/>
        </w:rPr>
        <w:t>highSpeedEnhancedMeasFlag</w:t>
      </w:r>
    </w:p>
    <w:p w:rsidR="00344F3A" w:rsidRDefault="00344F3A" w:rsidP="00344F3A">
      <w:pPr>
        <w:rPr>
          <w:lang w:val="en-US" w:eastAsia="zh-CN"/>
        </w:rPr>
      </w:pPr>
      <w:r w:rsidRPr="008F765F">
        <w:rPr>
          <w:lang w:val="en-US" w:eastAsia="zh-CN"/>
        </w:rPr>
        <w:t>Our final</w:t>
      </w:r>
      <w:r>
        <w:rPr>
          <w:lang w:val="en-US" w:eastAsia="zh-CN"/>
        </w:rPr>
        <w:t xml:space="preserve"> considerations are on UE capabilities. The existing release 14 enhancements are supported from release 13 onwards in a release independent manner in 36.307 according to the capability “</w:t>
      </w:r>
      <w:r w:rsidRPr="000E2961">
        <w:rPr>
          <w:i/>
          <w:lang w:eastAsia="zh-CN"/>
        </w:rPr>
        <w:t>measurementEnhancements-r14</w:t>
      </w:r>
      <w:r>
        <w:rPr>
          <w:lang w:val="en-US" w:eastAsia="zh-CN"/>
        </w:rPr>
        <w:t>”. Since there are already UE in the field which support enhancement on the PCell and not on the SCell, and this support cannot be determined from the UE release, we support a new capability indicator such as</w:t>
      </w:r>
    </w:p>
    <w:p w:rsidR="00344F3A" w:rsidRDefault="00344F3A" w:rsidP="00344F3A">
      <w:pPr>
        <w:rPr>
          <w:b/>
          <w:i/>
          <w:lang w:eastAsia="zh-CN"/>
        </w:rPr>
      </w:pPr>
      <w:r>
        <w:rPr>
          <w:b/>
          <w:lang w:val="en-US" w:eastAsia="zh-CN"/>
        </w:rPr>
        <w:t xml:space="preserve">Proposal 7: UE capability for enhanced intrafrequency cell identification and measurement period for SCC is indicated using a new high speed enhancement capability such as </w:t>
      </w:r>
      <w:r w:rsidRPr="008F765F">
        <w:rPr>
          <w:b/>
          <w:lang w:val="en-US" w:eastAsia="zh-CN"/>
        </w:rPr>
        <w:t>SCC</w:t>
      </w:r>
      <w:r w:rsidRPr="008F765F">
        <w:rPr>
          <w:b/>
          <w:i/>
          <w:lang w:eastAsia="zh-CN"/>
        </w:rPr>
        <w:t>measurementEnhancements-r1</w:t>
      </w:r>
      <w:r>
        <w:rPr>
          <w:b/>
          <w:i/>
          <w:lang w:eastAsia="zh-CN"/>
        </w:rPr>
        <w:t>6</w:t>
      </w:r>
    </w:p>
    <w:p w:rsidR="00344F3A" w:rsidRPr="008F765F" w:rsidRDefault="00344F3A" w:rsidP="00344F3A">
      <w:pPr>
        <w:rPr>
          <w:lang w:eastAsia="zh-CN"/>
        </w:rPr>
      </w:pPr>
      <w:r w:rsidRPr="008F765F">
        <w:rPr>
          <w:lang w:eastAsia="zh-CN"/>
        </w:rPr>
        <w:t xml:space="preserve">Note </w:t>
      </w:r>
      <w:r>
        <w:rPr>
          <w:lang w:eastAsia="zh-CN"/>
        </w:rPr>
        <w:t>that this is not a discussion about whether the new capability is optional or mandatory, and from which release it applies. We anticipate this discussion will take place around the completion of release 16.</w:t>
      </w:r>
    </w:p>
    <w:p w:rsidR="00344F3A" w:rsidRPr="00B12897" w:rsidRDefault="00344F3A" w:rsidP="00B12897">
      <w:pPr>
        <w:rPr>
          <w:b/>
          <w:lang w:eastAsia="zh-CN"/>
        </w:rPr>
      </w:pPr>
    </w:p>
    <w:p w:rsidR="0034168A" w:rsidRPr="0034168A" w:rsidRDefault="005813AA" w:rsidP="00BE0426">
      <w:pPr>
        <w:pStyle w:val="Heading1"/>
        <w:jc w:val="both"/>
        <w:rPr>
          <w:lang w:val="en-US" w:eastAsia="zh-CN"/>
        </w:rPr>
      </w:pPr>
      <w:r>
        <w:rPr>
          <w:rFonts w:eastAsia="SimSun"/>
          <w:lang w:val="en-US" w:eastAsia="zh-CN"/>
        </w:rPr>
        <w:t>Conclusion</w:t>
      </w:r>
    </w:p>
    <w:p w:rsidR="00344F3A" w:rsidRPr="00344F3A" w:rsidRDefault="00344F3A" w:rsidP="00344F3A">
      <w:pPr>
        <w:rPr>
          <w:lang w:eastAsia="zh-CN"/>
        </w:rPr>
      </w:pPr>
      <w:r w:rsidRPr="00344F3A">
        <w:rPr>
          <w:lang w:eastAsia="zh-CN"/>
        </w:rPr>
        <w:t xml:space="preserve">In </w:t>
      </w:r>
      <w:r>
        <w:rPr>
          <w:lang w:eastAsia="zh-CN"/>
        </w:rPr>
        <w:t>this contribution, we provide proposals for SCell measurement enhancement for the HST enhancement work item</w:t>
      </w:r>
    </w:p>
    <w:p w:rsidR="00344F3A" w:rsidRDefault="00344F3A" w:rsidP="00344F3A">
      <w:pPr>
        <w:rPr>
          <w:b/>
          <w:lang w:eastAsia="zh-CN"/>
        </w:rPr>
      </w:pPr>
      <w:r>
        <w:rPr>
          <w:b/>
          <w:lang w:eastAsia="zh-CN"/>
        </w:rPr>
        <w:t xml:space="preserve">Proposal 1 : SCell </w:t>
      </w:r>
      <w:r w:rsidRPr="00B12897">
        <w:rPr>
          <w:b/>
          <w:i/>
          <w:lang w:eastAsia="zh-CN"/>
        </w:rPr>
        <w:t xml:space="preserve"> </w:t>
      </w:r>
      <w:r>
        <w:rPr>
          <w:b/>
          <w:lang w:eastAsia="zh-CN"/>
        </w:rPr>
        <w:t>non DRX requirements are not enhanced in release 16</w:t>
      </w:r>
    </w:p>
    <w:p w:rsidR="00344F3A" w:rsidRPr="00DA3C1F" w:rsidRDefault="00344F3A" w:rsidP="00344F3A">
      <w:pPr>
        <w:rPr>
          <w:b/>
          <w:lang w:val="en-US" w:eastAsia="zh-CN"/>
        </w:rPr>
      </w:pPr>
      <w:r>
        <w:rPr>
          <w:b/>
          <w:lang w:val="en-US" w:eastAsia="zh-CN"/>
        </w:rPr>
        <w:t>Proposal 2: Enhanced intrafrequency cell identification and measurement period are defined for SCC in release 16 with the same values as for PCC in release 14</w:t>
      </w:r>
    </w:p>
    <w:p w:rsidR="00344F3A" w:rsidRDefault="00344F3A" w:rsidP="00344F3A">
      <w:pPr>
        <w:rPr>
          <w:i/>
        </w:rPr>
      </w:pPr>
      <w:r>
        <w:rPr>
          <w:b/>
          <w:lang w:eastAsia="zh-CN"/>
        </w:rPr>
        <w:t xml:space="preserve">Proposal 3: For release 16, deactivated SCell requirements when no common DRX is used is based on </w:t>
      </w:r>
      <w:r w:rsidRPr="00623F57">
        <w:rPr>
          <w:b/>
        </w:rPr>
        <w:t>T</w:t>
      </w:r>
      <w:r w:rsidRPr="00623F57">
        <w:rPr>
          <w:b/>
          <w:vertAlign w:val="subscript"/>
        </w:rPr>
        <w:t>identify_scc</w:t>
      </w:r>
      <w:r w:rsidRPr="00623F57">
        <w:rPr>
          <w:b/>
        </w:rPr>
        <w:t xml:space="preserve"> = 15 </w:t>
      </w:r>
      <w:r w:rsidRPr="00623F57">
        <w:rPr>
          <w:rFonts w:cs="v4.2.0"/>
          <w:b/>
          <w:i/>
        </w:rPr>
        <w:t>measCycleSCell</w:t>
      </w:r>
      <w:r w:rsidRPr="00623F57">
        <w:rPr>
          <w:rFonts w:cs="v4.2.0"/>
          <w:b/>
        </w:rPr>
        <w:t xml:space="preserve"> and </w:t>
      </w:r>
      <w:r w:rsidRPr="00623F57">
        <w:rPr>
          <w:b/>
        </w:rPr>
        <w:t>T</w:t>
      </w:r>
      <w:r w:rsidRPr="00623F57">
        <w:rPr>
          <w:b/>
          <w:vertAlign w:val="subscript"/>
        </w:rPr>
        <w:t>measure_scc</w:t>
      </w:r>
      <w:r w:rsidRPr="00623F57">
        <w:rPr>
          <w:b/>
        </w:rPr>
        <w:t xml:space="preserve"> = 3 </w:t>
      </w:r>
      <w:r w:rsidRPr="00623F57">
        <w:rPr>
          <w:rFonts w:cs="v4.2.0"/>
          <w:b/>
          <w:i/>
        </w:rPr>
        <w:t>measCycleSCell</w:t>
      </w:r>
      <w:r w:rsidRPr="00623F57">
        <w:rPr>
          <w:b/>
        </w:rPr>
        <w:t>.</w:t>
      </w:r>
    </w:p>
    <w:p w:rsidR="00344F3A" w:rsidRPr="00344F3A" w:rsidRDefault="00344F3A" w:rsidP="00344F3A">
      <w:pPr>
        <w:rPr>
          <w:b/>
        </w:rPr>
      </w:pPr>
      <w:r>
        <w:rPr>
          <w:b/>
        </w:rPr>
        <w:t xml:space="preserve">Proposal 4: </w:t>
      </w:r>
      <w:r>
        <w:rPr>
          <w:b/>
          <w:lang w:eastAsia="zh-CN"/>
        </w:rPr>
        <w:t xml:space="preserve">For release 16, deactivated SCell requirements when common DRX is used is based </w:t>
      </w:r>
      <w:r w:rsidRPr="00344F3A">
        <w:rPr>
          <w:b/>
          <w:lang w:eastAsia="zh-CN"/>
        </w:rPr>
        <w:t xml:space="preserve">on </w:t>
      </w:r>
      <w:r w:rsidRPr="00344F3A">
        <w:rPr>
          <w:b/>
        </w:rPr>
        <w:t>T</w:t>
      </w:r>
      <w:r w:rsidRPr="00344F3A">
        <w:rPr>
          <w:b/>
          <w:vertAlign w:val="subscript"/>
        </w:rPr>
        <w:t>identify_scc</w:t>
      </w:r>
      <w:r w:rsidRPr="00344F3A">
        <w:rPr>
          <w:b/>
        </w:rPr>
        <w:t xml:space="preserve"> = max(15 </w:t>
      </w:r>
      <w:r w:rsidRPr="00344F3A">
        <w:rPr>
          <w:rFonts w:cs="v4.2.0"/>
          <w:b/>
          <w:i/>
        </w:rPr>
        <w:t>measCycleSCell</w:t>
      </w:r>
      <w:r w:rsidRPr="00344F3A">
        <w:rPr>
          <w:b/>
        </w:rPr>
        <w:t>, T</w:t>
      </w:r>
      <w:r w:rsidRPr="00344F3A">
        <w:rPr>
          <w:b/>
          <w:vertAlign w:val="subscript"/>
        </w:rPr>
        <w:t>identify_scc1</w:t>
      </w:r>
      <w:r w:rsidRPr="00344F3A">
        <w:rPr>
          <w:b/>
        </w:rPr>
        <w:t>).  T</w:t>
      </w:r>
      <w:r w:rsidRPr="00344F3A">
        <w:rPr>
          <w:b/>
          <w:vertAlign w:val="subscript"/>
        </w:rPr>
        <w:t>identify_scc1</w:t>
      </w:r>
      <w:r w:rsidRPr="00344F3A">
        <w:rPr>
          <w:b/>
        </w:rPr>
        <w:t xml:space="preserve"> is given in table 1</w:t>
      </w:r>
    </w:p>
    <w:p w:rsidR="00344F3A" w:rsidRPr="00344F3A" w:rsidRDefault="00344F3A" w:rsidP="00344F3A">
      <w:pPr>
        <w:pStyle w:val="TH"/>
      </w:pPr>
      <w:r w:rsidRPr="00344F3A">
        <w:rPr>
          <w:snapToGrid w:val="0"/>
        </w:rPr>
        <w:lastRenderedPageBreak/>
        <w:t xml:space="preserve">Table </w:t>
      </w:r>
      <w:r w:rsidRPr="00344F3A">
        <w:t>1</w:t>
      </w:r>
      <w:r w:rsidRPr="00344F3A">
        <w:rPr>
          <w:snapToGrid w:val="0"/>
        </w:rPr>
        <w:t xml:space="preserve">: </w:t>
      </w:r>
      <w:r w:rsidRPr="00344F3A">
        <w:t xml:space="preserve">Requirement for </w:t>
      </w:r>
      <w:r w:rsidRPr="00344F3A">
        <w:rPr>
          <w:rFonts w:cs="v4.2.0"/>
        </w:rPr>
        <w:t>T</w:t>
      </w:r>
      <w:r w:rsidRPr="00344F3A">
        <w:rPr>
          <w:rFonts w:cs="v4.2.0"/>
          <w:vertAlign w:val="subscript"/>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2160"/>
      </w:tblGrid>
      <w:tr w:rsidR="00344F3A" w:rsidRPr="00344F3A" w:rsidTr="00D55313">
        <w:trPr>
          <w:cantSplit/>
          <w:jc w:val="center"/>
        </w:trPr>
        <w:tc>
          <w:tcPr>
            <w:tcW w:w="2182" w:type="pct"/>
          </w:tcPr>
          <w:p w:rsidR="00344F3A" w:rsidRPr="00344F3A" w:rsidRDefault="00344F3A" w:rsidP="00D55313">
            <w:pPr>
              <w:pStyle w:val="TAH"/>
              <w:rPr>
                <w:rFonts w:cs="Arial"/>
                <w:lang w:eastAsia="en-US"/>
              </w:rPr>
            </w:pPr>
            <w:r w:rsidRPr="00344F3A">
              <w:rPr>
                <w:rFonts w:cs="Arial"/>
                <w:lang w:eastAsia="en-US"/>
              </w:rPr>
              <w:t>DRX cycle length (s)</w:t>
            </w:r>
          </w:p>
        </w:tc>
        <w:tc>
          <w:tcPr>
            <w:tcW w:w="2818" w:type="pct"/>
          </w:tcPr>
          <w:p w:rsidR="00344F3A" w:rsidRPr="00344F3A" w:rsidRDefault="00344F3A" w:rsidP="00D55313">
            <w:pPr>
              <w:pStyle w:val="TAH"/>
              <w:rPr>
                <w:rFonts w:cs="Arial"/>
                <w:lang w:eastAsia="en-US"/>
              </w:rPr>
            </w:pPr>
            <w:r w:rsidRPr="00344F3A">
              <w:rPr>
                <w:rFonts w:cs="v4.2.0"/>
                <w:lang w:eastAsia="en-US"/>
              </w:rPr>
              <w:t>T</w:t>
            </w:r>
            <w:r w:rsidRPr="00344F3A">
              <w:rPr>
                <w:rFonts w:cs="v4.2.0"/>
                <w:vertAlign w:val="subscript"/>
                <w:lang w:eastAsia="en-US"/>
              </w:rPr>
              <w:t>identify_scc1</w:t>
            </w:r>
            <w:r w:rsidRPr="00344F3A">
              <w:rPr>
                <w:rFonts w:cs="Arial"/>
                <w:lang w:eastAsia="en-US"/>
              </w:rPr>
              <w:t xml:space="preserve"> (s) (DRX cycles)</w:t>
            </w:r>
          </w:p>
        </w:tc>
      </w:tr>
      <w:tr w:rsidR="00344F3A" w:rsidRPr="00344F3A" w:rsidTr="00D55313">
        <w:trPr>
          <w:cantSplit/>
          <w:jc w:val="center"/>
        </w:trPr>
        <w:tc>
          <w:tcPr>
            <w:tcW w:w="2182" w:type="pct"/>
          </w:tcPr>
          <w:p w:rsidR="00344F3A" w:rsidRPr="00344F3A" w:rsidRDefault="00344F3A" w:rsidP="00D55313">
            <w:pPr>
              <w:pStyle w:val="TAC"/>
              <w:rPr>
                <w:rFonts w:cs="Arial"/>
                <w:b/>
              </w:rPr>
            </w:pPr>
            <w:r w:rsidRPr="00344F3A">
              <w:rPr>
                <w:rFonts w:cs="Arial"/>
                <w:b/>
              </w:rPr>
              <w:t>≤0.04</w:t>
            </w:r>
          </w:p>
        </w:tc>
        <w:tc>
          <w:tcPr>
            <w:tcW w:w="2818" w:type="pct"/>
          </w:tcPr>
          <w:p w:rsidR="00344F3A" w:rsidRPr="00344F3A" w:rsidRDefault="00344F3A" w:rsidP="00D55313">
            <w:pPr>
              <w:pStyle w:val="TAC"/>
              <w:rPr>
                <w:rFonts w:cs="Arial"/>
                <w:b/>
                <w:lang w:eastAsia="ja-JP"/>
              </w:rPr>
            </w:pPr>
            <w:r w:rsidRPr="00344F3A">
              <w:rPr>
                <w:rFonts w:cs="Arial"/>
                <w:b/>
                <w:lang w:eastAsia="ja-JP"/>
              </w:rPr>
              <w:t>0.8 (Note1)</w:t>
            </w:r>
          </w:p>
        </w:tc>
      </w:tr>
      <w:tr w:rsidR="00344F3A" w:rsidRPr="00344F3A" w:rsidTr="00D55313">
        <w:trPr>
          <w:cantSplit/>
          <w:jc w:val="center"/>
        </w:trPr>
        <w:tc>
          <w:tcPr>
            <w:tcW w:w="2182" w:type="pct"/>
          </w:tcPr>
          <w:p w:rsidR="00344F3A" w:rsidRPr="00344F3A" w:rsidRDefault="00344F3A" w:rsidP="00D55313">
            <w:pPr>
              <w:pStyle w:val="TAC"/>
              <w:rPr>
                <w:rFonts w:cs="Arial"/>
                <w:b/>
                <w:snapToGrid w:val="0"/>
              </w:rPr>
            </w:pPr>
            <w:r w:rsidRPr="00344F3A">
              <w:rPr>
                <w:rFonts w:cs="Arial"/>
                <w:b/>
              </w:rPr>
              <w:t>0.04&lt;DRX-cycle≤0.08</w:t>
            </w:r>
          </w:p>
        </w:tc>
        <w:tc>
          <w:tcPr>
            <w:tcW w:w="2818" w:type="pct"/>
          </w:tcPr>
          <w:p w:rsidR="00344F3A" w:rsidRPr="00344F3A" w:rsidRDefault="00344F3A" w:rsidP="00D55313">
            <w:pPr>
              <w:pStyle w:val="TAC"/>
              <w:rPr>
                <w:rFonts w:cs="Arial"/>
                <w:b/>
                <w:lang w:eastAsia="ja-JP"/>
              </w:rPr>
            </w:pPr>
            <w:r w:rsidRPr="00344F3A">
              <w:rPr>
                <w:rFonts w:cs="Arial"/>
                <w:b/>
                <w:lang w:eastAsia="ja-JP"/>
              </w:rPr>
              <w:t>Note2(</w:t>
            </w:r>
            <w:r w:rsidRPr="00344F3A">
              <w:rPr>
                <w:rFonts w:cs="Arial" w:hint="eastAsia"/>
                <w:b/>
                <w:lang w:eastAsia="zh-CN"/>
              </w:rPr>
              <w:t>15</w:t>
            </w:r>
            <w:r w:rsidRPr="00344F3A">
              <w:rPr>
                <w:rFonts w:cs="Arial"/>
                <w:b/>
                <w:lang w:eastAsia="ja-JP"/>
              </w:rPr>
              <w:t>)</w:t>
            </w:r>
          </w:p>
        </w:tc>
      </w:tr>
      <w:tr w:rsidR="00344F3A" w:rsidRPr="00344F3A" w:rsidTr="00D55313">
        <w:trPr>
          <w:cantSplit/>
          <w:jc w:val="center"/>
        </w:trPr>
        <w:tc>
          <w:tcPr>
            <w:tcW w:w="2182" w:type="pct"/>
          </w:tcPr>
          <w:p w:rsidR="00344F3A" w:rsidRPr="00344F3A" w:rsidRDefault="00344F3A" w:rsidP="00D55313">
            <w:pPr>
              <w:pStyle w:val="TAC"/>
              <w:rPr>
                <w:rFonts w:cs="Arial"/>
                <w:b/>
              </w:rPr>
            </w:pPr>
            <w:r w:rsidRPr="00344F3A">
              <w:rPr>
                <w:rFonts w:cs="Arial"/>
                <w:b/>
              </w:rPr>
              <w:t>0.128</w:t>
            </w:r>
          </w:p>
        </w:tc>
        <w:tc>
          <w:tcPr>
            <w:tcW w:w="2818" w:type="pct"/>
          </w:tcPr>
          <w:p w:rsidR="00344F3A" w:rsidRPr="00344F3A" w:rsidRDefault="00344F3A" w:rsidP="00D55313">
            <w:pPr>
              <w:pStyle w:val="TAC"/>
              <w:rPr>
                <w:rFonts w:cs="Arial"/>
                <w:b/>
                <w:snapToGrid w:val="0"/>
                <w:lang w:eastAsia="ja-JP"/>
              </w:rPr>
            </w:pPr>
            <w:r w:rsidRPr="00344F3A">
              <w:rPr>
                <w:rFonts w:cs="Arial"/>
                <w:b/>
                <w:lang w:eastAsia="ja-JP"/>
              </w:rPr>
              <w:t>Note2(</w:t>
            </w:r>
            <w:r w:rsidRPr="00344F3A">
              <w:rPr>
                <w:rFonts w:cs="Arial" w:hint="eastAsia"/>
                <w:b/>
                <w:lang w:eastAsia="zh-CN"/>
              </w:rPr>
              <w:t>10</w:t>
            </w:r>
            <w:r w:rsidRPr="00344F3A">
              <w:rPr>
                <w:rFonts w:cs="Arial"/>
                <w:b/>
                <w:lang w:eastAsia="ja-JP"/>
              </w:rPr>
              <w:t>)</w:t>
            </w:r>
          </w:p>
        </w:tc>
      </w:tr>
      <w:tr w:rsidR="00344F3A" w:rsidRPr="00344F3A" w:rsidTr="00D55313">
        <w:trPr>
          <w:cantSplit/>
          <w:jc w:val="center"/>
        </w:trPr>
        <w:tc>
          <w:tcPr>
            <w:tcW w:w="2182" w:type="pct"/>
          </w:tcPr>
          <w:p w:rsidR="00344F3A" w:rsidRPr="00344F3A" w:rsidRDefault="00344F3A" w:rsidP="00D55313">
            <w:pPr>
              <w:pStyle w:val="TAC"/>
              <w:rPr>
                <w:rFonts w:cs="Arial"/>
                <w:b/>
                <w:snapToGrid w:val="0"/>
              </w:rPr>
            </w:pPr>
            <w:r w:rsidRPr="00344F3A">
              <w:rPr>
                <w:rFonts w:cs="Arial"/>
                <w:b/>
              </w:rPr>
              <w:t>0.128&lt;DRX-cycle≤2.56</w:t>
            </w:r>
          </w:p>
        </w:tc>
        <w:tc>
          <w:tcPr>
            <w:tcW w:w="2818" w:type="pct"/>
          </w:tcPr>
          <w:p w:rsidR="00344F3A" w:rsidRPr="00344F3A" w:rsidRDefault="00344F3A" w:rsidP="00D55313">
            <w:pPr>
              <w:pStyle w:val="TAC"/>
              <w:rPr>
                <w:rFonts w:cs="Arial"/>
                <w:b/>
                <w:lang w:eastAsia="ja-JP"/>
              </w:rPr>
            </w:pPr>
            <w:r w:rsidRPr="00344F3A">
              <w:rPr>
                <w:rFonts w:cs="Arial"/>
                <w:b/>
                <w:lang w:eastAsia="ja-JP"/>
              </w:rPr>
              <w:t>Note2(20)</w:t>
            </w:r>
          </w:p>
        </w:tc>
      </w:tr>
      <w:tr w:rsidR="00344F3A" w:rsidRPr="00344F3A" w:rsidTr="00D55313">
        <w:trPr>
          <w:cantSplit/>
          <w:jc w:val="center"/>
        </w:trPr>
        <w:tc>
          <w:tcPr>
            <w:tcW w:w="5000" w:type="pct"/>
            <w:gridSpan w:val="2"/>
          </w:tcPr>
          <w:p w:rsidR="00344F3A" w:rsidRPr="00344F3A" w:rsidRDefault="00344F3A" w:rsidP="00D55313">
            <w:pPr>
              <w:pStyle w:val="TAN"/>
              <w:rPr>
                <w:rFonts w:cs="Arial"/>
                <w:b/>
                <w:lang w:eastAsia="en-US"/>
              </w:rPr>
            </w:pPr>
            <w:r w:rsidRPr="00344F3A">
              <w:rPr>
                <w:rFonts w:cs="Arial"/>
                <w:b/>
                <w:lang w:eastAsia="en-US"/>
              </w:rPr>
              <w:t>Note1:</w:t>
            </w:r>
            <w:r w:rsidRPr="00344F3A">
              <w:rPr>
                <w:rFonts w:cs="Arial"/>
                <w:b/>
                <w:lang w:eastAsia="en-US"/>
              </w:rPr>
              <w:tab/>
              <w:t>Number of DRX cycle depends upon the DRX cycle in use</w:t>
            </w:r>
          </w:p>
          <w:p w:rsidR="00344F3A" w:rsidRPr="00344F3A" w:rsidRDefault="00344F3A" w:rsidP="00D55313">
            <w:pPr>
              <w:pStyle w:val="TAN"/>
              <w:rPr>
                <w:rFonts w:cs="Arial"/>
                <w:b/>
                <w:lang w:eastAsia="en-US"/>
              </w:rPr>
            </w:pPr>
            <w:r w:rsidRPr="00344F3A">
              <w:rPr>
                <w:rFonts w:cs="Arial"/>
                <w:b/>
                <w:lang w:eastAsia="en-US"/>
              </w:rPr>
              <w:t>Note2:</w:t>
            </w:r>
            <w:r w:rsidRPr="00344F3A">
              <w:rPr>
                <w:rFonts w:cs="Arial"/>
                <w:b/>
                <w:lang w:eastAsia="en-US"/>
              </w:rPr>
              <w:tab/>
              <w:t>Time depends upon the DRX cycle in use</w:t>
            </w:r>
          </w:p>
        </w:tc>
      </w:tr>
    </w:tbl>
    <w:p w:rsidR="00344F3A" w:rsidRDefault="00344F3A" w:rsidP="00344F3A">
      <w:pPr>
        <w:rPr>
          <w:b/>
        </w:rPr>
      </w:pPr>
      <w:r>
        <w:rPr>
          <w:b/>
          <w:lang w:val="en-US" w:eastAsia="zh-CN"/>
        </w:rPr>
        <w:t xml:space="preserve">Proposal 5: </w:t>
      </w:r>
      <w:r>
        <w:rPr>
          <w:b/>
          <w:lang w:eastAsia="zh-CN"/>
        </w:rPr>
        <w:t>For release 16, deactivated SCell require</w:t>
      </w:r>
      <w:r w:rsidRPr="00344F3A">
        <w:rPr>
          <w:b/>
          <w:lang w:eastAsia="zh-CN"/>
        </w:rPr>
        <w:t xml:space="preserve">ments when common DRX is used is based on </w:t>
      </w:r>
      <w:r w:rsidRPr="00344F3A">
        <w:rPr>
          <w:b/>
        </w:rPr>
        <w:t>T</w:t>
      </w:r>
      <w:r w:rsidRPr="00344F3A">
        <w:rPr>
          <w:b/>
          <w:vertAlign w:val="subscript"/>
        </w:rPr>
        <w:t>measure_scc</w:t>
      </w:r>
      <w:r w:rsidRPr="00344F3A">
        <w:rPr>
          <w:b/>
        </w:rPr>
        <w:t xml:space="preserve"> =max( </w:t>
      </w:r>
      <w:r>
        <w:rPr>
          <w:b/>
        </w:rPr>
        <w:t>3</w:t>
      </w:r>
      <w:r w:rsidRPr="00344F3A">
        <w:rPr>
          <w:b/>
        </w:rPr>
        <w:t xml:space="preserve"> </w:t>
      </w:r>
      <w:r w:rsidRPr="00344F3A">
        <w:rPr>
          <w:b/>
          <w:i/>
        </w:rPr>
        <w:t>measCycleSCell</w:t>
      </w:r>
      <w:r w:rsidRPr="00344F3A">
        <w:rPr>
          <w:b/>
        </w:rPr>
        <w:t>, T</w:t>
      </w:r>
      <w:r w:rsidRPr="00344F3A">
        <w:rPr>
          <w:b/>
          <w:vertAlign w:val="subscript"/>
        </w:rPr>
        <w:t>measure_scc1</w:t>
      </w:r>
      <w:r w:rsidRPr="00344F3A">
        <w:rPr>
          <w:b/>
        </w:rPr>
        <w:t>).</w:t>
      </w:r>
    </w:p>
    <w:p w:rsidR="00344F3A" w:rsidRDefault="00344F3A" w:rsidP="00344F3A">
      <w:pPr>
        <w:rPr>
          <w:b/>
        </w:rPr>
      </w:pPr>
    </w:p>
    <w:p w:rsidR="00344F3A" w:rsidRPr="00344F3A" w:rsidRDefault="00344F3A" w:rsidP="00344F3A">
      <w:pPr>
        <w:pStyle w:val="TH"/>
      </w:pPr>
      <w:r>
        <w:rPr>
          <w:b w:val="0"/>
        </w:rPr>
        <w:tab/>
      </w:r>
      <w:r w:rsidRPr="00344F3A">
        <w:rPr>
          <w:snapToGrid w:val="0"/>
        </w:rPr>
        <w:t xml:space="preserve">Table </w:t>
      </w:r>
      <w:r>
        <w:t>2</w:t>
      </w:r>
      <w:r w:rsidRPr="00344F3A">
        <w:rPr>
          <w:snapToGrid w:val="0"/>
        </w:rPr>
        <w:t xml:space="preserve">: </w:t>
      </w:r>
      <w:r w:rsidRPr="00344F3A">
        <w:t xml:space="preserve">Requirement for </w:t>
      </w:r>
      <w:r w:rsidRPr="00344F3A">
        <w:rPr>
          <w:rFonts w:cs="v4.2.0"/>
        </w:rPr>
        <w:t>T</w:t>
      </w:r>
      <w:r>
        <w:rPr>
          <w:rFonts w:cs="v4.2.0"/>
          <w:vertAlign w:val="subscript"/>
        </w:rPr>
        <w:t>measure</w:t>
      </w:r>
      <w:r w:rsidRPr="00344F3A">
        <w:rPr>
          <w:rFonts w:cs="v4.2.0"/>
          <w:vertAlign w:val="subscript"/>
        </w:rPr>
        <w:t>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6"/>
        <w:gridCol w:w="1944"/>
      </w:tblGrid>
      <w:tr w:rsidR="00344F3A" w:rsidRPr="00344F3A" w:rsidTr="00D55313">
        <w:trPr>
          <w:cantSplit/>
          <w:jc w:val="center"/>
        </w:trPr>
        <w:tc>
          <w:tcPr>
            <w:tcW w:w="2124" w:type="pct"/>
          </w:tcPr>
          <w:p w:rsidR="00344F3A" w:rsidRPr="00344F3A" w:rsidRDefault="00344F3A" w:rsidP="00D55313">
            <w:pPr>
              <w:pStyle w:val="TAH"/>
              <w:rPr>
                <w:rFonts w:cs="Arial"/>
                <w:lang w:eastAsia="en-US"/>
              </w:rPr>
            </w:pPr>
            <w:r w:rsidRPr="00344F3A">
              <w:rPr>
                <w:rFonts w:cs="Arial"/>
                <w:lang w:eastAsia="en-US"/>
              </w:rPr>
              <w:t>DRX cycle length (s)</w:t>
            </w:r>
          </w:p>
        </w:tc>
        <w:tc>
          <w:tcPr>
            <w:tcW w:w="2876" w:type="pct"/>
          </w:tcPr>
          <w:p w:rsidR="00344F3A" w:rsidRPr="00344F3A" w:rsidRDefault="00344F3A" w:rsidP="00D55313">
            <w:pPr>
              <w:pStyle w:val="TAH"/>
              <w:rPr>
                <w:rFonts w:cs="Arial"/>
                <w:lang w:eastAsia="en-US"/>
              </w:rPr>
            </w:pPr>
            <w:r w:rsidRPr="00344F3A">
              <w:rPr>
                <w:rFonts w:cs="Arial"/>
                <w:lang w:eastAsia="en-US"/>
              </w:rPr>
              <w:t>T</w:t>
            </w:r>
            <w:r w:rsidRPr="00344F3A">
              <w:rPr>
                <w:rFonts w:cs="Arial"/>
                <w:vertAlign w:val="subscript"/>
                <w:lang w:eastAsia="en-US"/>
              </w:rPr>
              <w:t xml:space="preserve">measure_scc1 </w:t>
            </w:r>
            <w:r w:rsidRPr="00344F3A">
              <w:rPr>
                <w:rFonts w:cs="Arial"/>
                <w:lang w:eastAsia="en-US"/>
              </w:rPr>
              <w:t>(s) (DRX cycles)</w:t>
            </w:r>
          </w:p>
        </w:tc>
      </w:tr>
      <w:tr w:rsidR="00344F3A" w:rsidRPr="00344F3A" w:rsidTr="00D55313">
        <w:trPr>
          <w:cantSplit/>
          <w:jc w:val="center"/>
        </w:trPr>
        <w:tc>
          <w:tcPr>
            <w:tcW w:w="2124" w:type="pct"/>
          </w:tcPr>
          <w:p w:rsidR="00344F3A" w:rsidRPr="00344F3A" w:rsidRDefault="00344F3A" w:rsidP="00D55313">
            <w:pPr>
              <w:pStyle w:val="TAC"/>
              <w:rPr>
                <w:rFonts w:cs="Arial"/>
                <w:b/>
              </w:rPr>
            </w:pPr>
            <w:r w:rsidRPr="00344F3A">
              <w:rPr>
                <w:rFonts w:cs="Arial"/>
                <w:b/>
              </w:rPr>
              <w:t>≤0.04</w:t>
            </w:r>
          </w:p>
        </w:tc>
        <w:tc>
          <w:tcPr>
            <w:tcW w:w="2876" w:type="pct"/>
          </w:tcPr>
          <w:p w:rsidR="00344F3A" w:rsidRPr="00344F3A" w:rsidRDefault="00344F3A" w:rsidP="00D55313">
            <w:pPr>
              <w:pStyle w:val="TAC"/>
              <w:rPr>
                <w:rFonts w:cs="Arial"/>
                <w:b/>
              </w:rPr>
            </w:pPr>
            <w:r w:rsidRPr="00344F3A">
              <w:rPr>
                <w:rFonts w:cs="Arial"/>
                <w:b/>
              </w:rPr>
              <w:t>0.2 (Note1)</w:t>
            </w:r>
          </w:p>
        </w:tc>
      </w:tr>
      <w:tr w:rsidR="00344F3A" w:rsidRPr="00344F3A" w:rsidTr="00D55313">
        <w:trPr>
          <w:cantSplit/>
          <w:jc w:val="center"/>
        </w:trPr>
        <w:tc>
          <w:tcPr>
            <w:tcW w:w="2124" w:type="pct"/>
          </w:tcPr>
          <w:p w:rsidR="00344F3A" w:rsidRPr="00344F3A" w:rsidRDefault="00344F3A" w:rsidP="00D55313">
            <w:pPr>
              <w:pStyle w:val="TAC"/>
              <w:rPr>
                <w:rFonts w:cs="Arial"/>
                <w:b/>
                <w:snapToGrid w:val="0"/>
              </w:rPr>
            </w:pPr>
            <w:r w:rsidRPr="00344F3A">
              <w:rPr>
                <w:rFonts w:cs="Arial"/>
                <w:b/>
              </w:rPr>
              <w:t>0.04&lt;DRX-cycle≤2.56</w:t>
            </w:r>
          </w:p>
        </w:tc>
        <w:tc>
          <w:tcPr>
            <w:tcW w:w="2876" w:type="pct"/>
          </w:tcPr>
          <w:p w:rsidR="00344F3A" w:rsidRPr="00344F3A" w:rsidRDefault="00344F3A" w:rsidP="00D55313">
            <w:pPr>
              <w:pStyle w:val="TAC"/>
              <w:rPr>
                <w:rFonts w:cs="Arial"/>
                <w:b/>
                <w:snapToGrid w:val="0"/>
              </w:rPr>
            </w:pPr>
            <w:r w:rsidRPr="00344F3A">
              <w:rPr>
                <w:rFonts w:cs="Arial"/>
                <w:b/>
              </w:rPr>
              <w:t>Note2 (3)</w:t>
            </w:r>
          </w:p>
        </w:tc>
      </w:tr>
      <w:tr w:rsidR="00344F3A" w:rsidRPr="00344F3A" w:rsidTr="00D55313">
        <w:trPr>
          <w:cantSplit/>
          <w:jc w:val="center"/>
        </w:trPr>
        <w:tc>
          <w:tcPr>
            <w:tcW w:w="5000" w:type="pct"/>
            <w:gridSpan w:val="2"/>
          </w:tcPr>
          <w:p w:rsidR="00344F3A" w:rsidRPr="00344F3A" w:rsidRDefault="00344F3A" w:rsidP="00D55313">
            <w:pPr>
              <w:pStyle w:val="TAC"/>
              <w:rPr>
                <w:rFonts w:cs="Arial"/>
                <w:b/>
              </w:rPr>
            </w:pPr>
            <w:r w:rsidRPr="00344F3A">
              <w:rPr>
                <w:rFonts w:cs="Arial"/>
                <w:b/>
              </w:rPr>
              <w:t>Note1: Number of DRX cycle depends upon the DRX cycle in use</w:t>
            </w:r>
          </w:p>
          <w:p w:rsidR="00344F3A" w:rsidRPr="00344F3A" w:rsidRDefault="00344F3A" w:rsidP="00D55313">
            <w:pPr>
              <w:pStyle w:val="TAC"/>
              <w:rPr>
                <w:rFonts w:cs="Arial"/>
                <w:b/>
              </w:rPr>
            </w:pPr>
            <w:r w:rsidRPr="00344F3A">
              <w:rPr>
                <w:rFonts w:cs="Arial"/>
                <w:b/>
              </w:rPr>
              <w:t>Note2: Time depends upon the DRX cycle in use</w:t>
            </w:r>
          </w:p>
        </w:tc>
      </w:tr>
    </w:tbl>
    <w:p w:rsidR="00344F3A" w:rsidRDefault="00344F3A" w:rsidP="00344F3A">
      <w:pPr>
        <w:rPr>
          <w:b/>
          <w:lang w:val="en-US" w:eastAsia="zh-CN"/>
        </w:rPr>
      </w:pPr>
      <w:r>
        <w:rPr>
          <w:b/>
          <w:lang w:val="en-US" w:eastAsia="zh-CN"/>
        </w:rPr>
        <w:t xml:space="preserve">Proposal 6: Enhanced intrafrequency cell identification and measurement period for SCC are configured with the existing </w:t>
      </w:r>
      <w:r w:rsidRPr="00DA3C1F">
        <w:rPr>
          <w:b/>
          <w:lang w:val="en-US" w:eastAsia="zh-CN"/>
        </w:rPr>
        <w:t>highSpeedEnhancedMeasFlag</w:t>
      </w:r>
    </w:p>
    <w:p w:rsidR="00344F3A" w:rsidRDefault="00344F3A" w:rsidP="00344F3A">
      <w:pPr>
        <w:rPr>
          <w:b/>
          <w:i/>
          <w:lang w:eastAsia="zh-CN"/>
        </w:rPr>
      </w:pPr>
      <w:r>
        <w:rPr>
          <w:b/>
          <w:lang w:val="en-US" w:eastAsia="zh-CN"/>
        </w:rPr>
        <w:t xml:space="preserve">Proposal 7: UE capability for enhanced intrafrequency cell identification and measurement period for SCC is indicated using a new high speed enhancement capability such as </w:t>
      </w:r>
      <w:r w:rsidRPr="008F765F">
        <w:rPr>
          <w:b/>
          <w:lang w:val="en-US" w:eastAsia="zh-CN"/>
        </w:rPr>
        <w:t>SCC</w:t>
      </w:r>
      <w:r w:rsidRPr="008F765F">
        <w:rPr>
          <w:b/>
          <w:i/>
          <w:lang w:eastAsia="zh-CN"/>
        </w:rPr>
        <w:t>measurementEnhancements-r1</w:t>
      </w:r>
      <w:r>
        <w:rPr>
          <w:b/>
          <w:i/>
          <w:lang w:eastAsia="zh-CN"/>
        </w:rPr>
        <w:t>6</w:t>
      </w: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DD4E14" w:rsidP="00DD4E14">
      <w:pPr>
        <w:pStyle w:val="3GPPNormalText"/>
        <w:numPr>
          <w:ilvl w:val="0"/>
          <w:numId w:val="5"/>
        </w:numPr>
        <w:rPr>
          <w:lang w:eastAsia="zh-CN"/>
        </w:rPr>
      </w:pPr>
      <w:r w:rsidRPr="00DD4E14">
        <w:rPr>
          <w:lang w:eastAsia="zh-CN"/>
        </w:rPr>
        <w:t>R4-1902520</w:t>
      </w:r>
      <w:r>
        <w:rPr>
          <w:lang w:eastAsia="zh-CN"/>
        </w:rPr>
        <w:t>, “</w:t>
      </w:r>
      <w:r w:rsidR="009F7808" w:rsidRPr="009F7808">
        <w:rPr>
          <w:lang w:val="en-GB" w:eastAsia="zh-CN"/>
        </w:rPr>
        <w:t>Way forward on HST enhancement for RRM</w:t>
      </w:r>
      <w:r>
        <w:rPr>
          <w:lang w:eastAsia="zh-CN"/>
        </w:rPr>
        <w:t xml:space="preserve">”, </w:t>
      </w:r>
      <w:r w:rsidR="009F7808">
        <w:rPr>
          <w:lang w:eastAsia="zh-CN"/>
        </w:rPr>
        <w:t>Huawei, Hisilicon</w:t>
      </w:r>
    </w:p>
    <w:sectPr w:rsidR="00C36F14"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4943" w:rsidRDefault="00A64943">
      <w:r>
        <w:separator/>
      </w:r>
    </w:p>
  </w:endnote>
  <w:endnote w:type="continuationSeparator" w:id="0">
    <w:p w:rsidR="00A64943" w:rsidRDefault="00A64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4943" w:rsidRDefault="00A64943">
      <w:r>
        <w:separator/>
      </w:r>
    </w:p>
  </w:footnote>
  <w:footnote w:type="continuationSeparator" w:id="0">
    <w:p w:rsidR="00A64943" w:rsidRDefault="00A649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C4E1A"/>
    <w:multiLevelType w:val="hybridMultilevel"/>
    <w:tmpl w:val="F35E1492"/>
    <w:lvl w:ilvl="0" w:tplc="7CBC9B10">
      <w:start w:val="1"/>
      <w:numFmt w:val="bullet"/>
      <w:lvlText w:val="•"/>
      <w:lvlJc w:val="left"/>
      <w:pPr>
        <w:tabs>
          <w:tab w:val="num" w:pos="720"/>
        </w:tabs>
        <w:ind w:left="720" w:hanging="360"/>
      </w:pPr>
      <w:rPr>
        <w:rFonts w:ascii="Arial" w:hAnsi="Arial" w:hint="default"/>
      </w:rPr>
    </w:lvl>
    <w:lvl w:ilvl="1" w:tplc="2A74F0BC">
      <w:start w:val="1"/>
      <w:numFmt w:val="bullet"/>
      <w:lvlText w:val="•"/>
      <w:lvlJc w:val="left"/>
      <w:pPr>
        <w:tabs>
          <w:tab w:val="num" w:pos="1440"/>
        </w:tabs>
        <w:ind w:left="1440" w:hanging="360"/>
      </w:pPr>
      <w:rPr>
        <w:rFonts w:ascii="Arial" w:hAnsi="Arial" w:hint="default"/>
      </w:rPr>
    </w:lvl>
    <w:lvl w:ilvl="2" w:tplc="F8F454E6" w:tentative="1">
      <w:start w:val="1"/>
      <w:numFmt w:val="bullet"/>
      <w:lvlText w:val="•"/>
      <w:lvlJc w:val="left"/>
      <w:pPr>
        <w:tabs>
          <w:tab w:val="num" w:pos="2160"/>
        </w:tabs>
        <w:ind w:left="2160" w:hanging="360"/>
      </w:pPr>
      <w:rPr>
        <w:rFonts w:ascii="Arial" w:hAnsi="Arial" w:hint="default"/>
      </w:rPr>
    </w:lvl>
    <w:lvl w:ilvl="3" w:tplc="96804D58" w:tentative="1">
      <w:start w:val="1"/>
      <w:numFmt w:val="bullet"/>
      <w:lvlText w:val="•"/>
      <w:lvlJc w:val="left"/>
      <w:pPr>
        <w:tabs>
          <w:tab w:val="num" w:pos="2880"/>
        </w:tabs>
        <w:ind w:left="2880" w:hanging="360"/>
      </w:pPr>
      <w:rPr>
        <w:rFonts w:ascii="Arial" w:hAnsi="Arial" w:hint="default"/>
      </w:rPr>
    </w:lvl>
    <w:lvl w:ilvl="4" w:tplc="8A56ADB0" w:tentative="1">
      <w:start w:val="1"/>
      <w:numFmt w:val="bullet"/>
      <w:lvlText w:val="•"/>
      <w:lvlJc w:val="left"/>
      <w:pPr>
        <w:tabs>
          <w:tab w:val="num" w:pos="3600"/>
        </w:tabs>
        <w:ind w:left="3600" w:hanging="360"/>
      </w:pPr>
      <w:rPr>
        <w:rFonts w:ascii="Arial" w:hAnsi="Arial" w:hint="default"/>
      </w:rPr>
    </w:lvl>
    <w:lvl w:ilvl="5" w:tplc="A6EC59C2" w:tentative="1">
      <w:start w:val="1"/>
      <w:numFmt w:val="bullet"/>
      <w:lvlText w:val="•"/>
      <w:lvlJc w:val="left"/>
      <w:pPr>
        <w:tabs>
          <w:tab w:val="num" w:pos="4320"/>
        </w:tabs>
        <w:ind w:left="4320" w:hanging="360"/>
      </w:pPr>
      <w:rPr>
        <w:rFonts w:ascii="Arial" w:hAnsi="Arial" w:hint="default"/>
      </w:rPr>
    </w:lvl>
    <w:lvl w:ilvl="6" w:tplc="E05CE280" w:tentative="1">
      <w:start w:val="1"/>
      <w:numFmt w:val="bullet"/>
      <w:lvlText w:val="•"/>
      <w:lvlJc w:val="left"/>
      <w:pPr>
        <w:tabs>
          <w:tab w:val="num" w:pos="5040"/>
        </w:tabs>
        <w:ind w:left="5040" w:hanging="360"/>
      </w:pPr>
      <w:rPr>
        <w:rFonts w:ascii="Arial" w:hAnsi="Arial" w:hint="default"/>
      </w:rPr>
    </w:lvl>
    <w:lvl w:ilvl="7" w:tplc="F9FC0078" w:tentative="1">
      <w:start w:val="1"/>
      <w:numFmt w:val="bullet"/>
      <w:lvlText w:val="•"/>
      <w:lvlJc w:val="left"/>
      <w:pPr>
        <w:tabs>
          <w:tab w:val="num" w:pos="5760"/>
        </w:tabs>
        <w:ind w:left="5760" w:hanging="360"/>
      </w:pPr>
      <w:rPr>
        <w:rFonts w:ascii="Arial" w:hAnsi="Arial" w:hint="default"/>
      </w:rPr>
    </w:lvl>
    <w:lvl w:ilvl="8" w:tplc="402E87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C26F2C"/>
    <w:multiLevelType w:val="hybridMultilevel"/>
    <w:tmpl w:val="65AE6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7AA55D60"/>
    <w:multiLevelType w:val="hybridMultilevel"/>
    <w:tmpl w:val="E1483488"/>
    <w:lvl w:ilvl="0" w:tplc="CA304BCC">
      <w:start w:val="1"/>
      <w:numFmt w:val="bullet"/>
      <w:lvlText w:val=""/>
      <w:lvlJc w:val="left"/>
      <w:pPr>
        <w:tabs>
          <w:tab w:val="num" w:pos="720"/>
        </w:tabs>
        <w:ind w:left="720" w:hanging="360"/>
      </w:pPr>
      <w:rPr>
        <w:rFonts w:ascii="Wingdings" w:hAnsi="Wingdings" w:hint="default"/>
      </w:rPr>
    </w:lvl>
    <w:lvl w:ilvl="1" w:tplc="3BAA6E7C" w:tentative="1">
      <w:start w:val="1"/>
      <w:numFmt w:val="bullet"/>
      <w:lvlText w:val=""/>
      <w:lvlJc w:val="left"/>
      <w:pPr>
        <w:tabs>
          <w:tab w:val="num" w:pos="1440"/>
        </w:tabs>
        <w:ind w:left="1440" w:hanging="360"/>
      </w:pPr>
      <w:rPr>
        <w:rFonts w:ascii="Wingdings" w:hAnsi="Wingdings" w:hint="default"/>
      </w:rPr>
    </w:lvl>
    <w:lvl w:ilvl="2" w:tplc="F9D64C2C" w:tentative="1">
      <w:start w:val="1"/>
      <w:numFmt w:val="bullet"/>
      <w:lvlText w:val=""/>
      <w:lvlJc w:val="left"/>
      <w:pPr>
        <w:tabs>
          <w:tab w:val="num" w:pos="2160"/>
        </w:tabs>
        <w:ind w:left="2160" w:hanging="360"/>
      </w:pPr>
      <w:rPr>
        <w:rFonts w:ascii="Wingdings" w:hAnsi="Wingdings" w:hint="default"/>
      </w:rPr>
    </w:lvl>
    <w:lvl w:ilvl="3" w:tplc="958CAA3A" w:tentative="1">
      <w:start w:val="1"/>
      <w:numFmt w:val="bullet"/>
      <w:lvlText w:val=""/>
      <w:lvlJc w:val="left"/>
      <w:pPr>
        <w:tabs>
          <w:tab w:val="num" w:pos="2880"/>
        </w:tabs>
        <w:ind w:left="2880" w:hanging="360"/>
      </w:pPr>
      <w:rPr>
        <w:rFonts w:ascii="Wingdings" w:hAnsi="Wingdings" w:hint="default"/>
      </w:rPr>
    </w:lvl>
    <w:lvl w:ilvl="4" w:tplc="15BE9CDE" w:tentative="1">
      <w:start w:val="1"/>
      <w:numFmt w:val="bullet"/>
      <w:lvlText w:val=""/>
      <w:lvlJc w:val="left"/>
      <w:pPr>
        <w:tabs>
          <w:tab w:val="num" w:pos="3600"/>
        </w:tabs>
        <w:ind w:left="3600" w:hanging="360"/>
      </w:pPr>
      <w:rPr>
        <w:rFonts w:ascii="Wingdings" w:hAnsi="Wingdings" w:hint="default"/>
      </w:rPr>
    </w:lvl>
    <w:lvl w:ilvl="5" w:tplc="71E4D524" w:tentative="1">
      <w:start w:val="1"/>
      <w:numFmt w:val="bullet"/>
      <w:lvlText w:val=""/>
      <w:lvlJc w:val="left"/>
      <w:pPr>
        <w:tabs>
          <w:tab w:val="num" w:pos="4320"/>
        </w:tabs>
        <w:ind w:left="4320" w:hanging="360"/>
      </w:pPr>
      <w:rPr>
        <w:rFonts w:ascii="Wingdings" w:hAnsi="Wingdings" w:hint="default"/>
      </w:rPr>
    </w:lvl>
    <w:lvl w:ilvl="6" w:tplc="7C2405F0" w:tentative="1">
      <w:start w:val="1"/>
      <w:numFmt w:val="bullet"/>
      <w:lvlText w:val=""/>
      <w:lvlJc w:val="left"/>
      <w:pPr>
        <w:tabs>
          <w:tab w:val="num" w:pos="5040"/>
        </w:tabs>
        <w:ind w:left="5040" w:hanging="360"/>
      </w:pPr>
      <w:rPr>
        <w:rFonts w:ascii="Wingdings" w:hAnsi="Wingdings" w:hint="default"/>
      </w:rPr>
    </w:lvl>
    <w:lvl w:ilvl="7" w:tplc="0A1AC720" w:tentative="1">
      <w:start w:val="1"/>
      <w:numFmt w:val="bullet"/>
      <w:lvlText w:val=""/>
      <w:lvlJc w:val="left"/>
      <w:pPr>
        <w:tabs>
          <w:tab w:val="num" w:pos="5760"/>
        </w:tabs>
        <w:ind w:left="5760" w:hanging="360"/>
      </w:pPr>
      <w:rPr>
        <w:rFonts w:ascii="Wingdings" w:hAnsi="Wingdings" w:hint="default"/>
      </w:rPr>
    </w:lvl>
    <w:lvl w:ilvl="8" w:tplc="A8343EA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5"/>
  </w:num>
  <w:num w:numId="2">
    <w:abstractNumId w:val="24"/>
  </w:num>
  <w:num w:numId="3">
    <w:abstractNumId w:val="27"/>
  </w:num>
  <w:num w:numId="4">
    <w:abstractNumId w:val="10"/>
  </w:num>
  <w:num w:numId="5">
    <w:abstractNumId w:val="13"/>
  </w:num>
  <w:num w:numId="6">
    <w:abstractNumId w:val="4"/>
  </w:num>
  <w:num w:numId="7">
    <w:abstractNumId w:val="8"/>
  </w:num>
  <w:num w:numId="8">
    <w:abstractNumId w:val="23"/>
  </w:num>
  <w:num w:numId="9">
    <w:abstractNumId w:val="19"/>
  </w:num>
  <w:num w:numId="10">
    <w:abstractNumId w:val="1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7"/>
  </w:num>
  <w:num w:numId="13">
    <w:abstractNumId w:val="1"/>
  </w:num>
  <w:num w:numId="14">
    <w:abstractNumId w:val="20"/>
  </w:num>
  <w:num w:numId="15">
    <w:abstractNumId w:val="5"/>
  </w:num>
  <w:num w:numId="16">
    <w:abstractNumId w:val="2"/>
  </w:num>
  <w:num w:numId="17">
    <w:abstractNumId w:val="16"/>
  </w:num>
  <w:num w:numId="18">
    <w:abstractNumId w:val="14"/>
  </w:num>
  <w:num w:numId="19">
    <w:abstractNumId w:val="3"/>
  </w:num>
  <w:num w:numId="20">
    <w:abstractNumId w:val="11"/>
  </w:num>
  <w:num w:numId="21">
    <w:abstractNumId w:val="12"/>
  </w:num>
  <w:num w:numId="22">
    <w:abstractNumId w:val="9"/>
  </w:num>
  <w:num w:numId="23">
    <w:abstractNumId w:val="28"/>
  </w:num>
  <w:num w:numId="24">
    <w:abstractNumId w:val="25"/>
  </w:num>
  <w:num w:numId="25">
    <w:abstractNumId w:val="22"/>
  </w:num>
  <w:num w:numId="26">
    <w:abstractNumId w:val="7"/>
  </w:num>
  <w:num w:numId="27">
    <w:abstractNumId w:val="6"/>
  </w:num>
  <w:num w:numId="28">
    <w:abstractNumId w:val="26"/>
  </w:num>
  <w:num w:numId="29">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6CAA"/>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4F3A"/>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4DA"/>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121"/>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57"/>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11"/>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72D"/>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DFC"/>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808"/>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943"/>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4BD2"/>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97"/>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C2F"/>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3CB"/>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25D0"/>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6F"/>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47412025">
      <w:bodyDiv w:val="1"/>
      <w:marLeft w:val="0"/>
      <w:marRight w:val="0"/>
      <w:marTop w:val="0"/>
      <w:marBottom w:val="0"/>
      <w:divBdr>
        <w:top w:val="none" w:sz="0" w:space="0" w:color="auto"/>
        <w:left w:val="none" w:sz="0" w:space="0" w:color="auto"/>
        <w:bottom w:val="none" w:sz="0" w:space="0" w:color="auto"/>
        <w:right w:val="none" w:sz="0" w:space="0" w:color="auto"/>
      </w:divBdr>
      <w:divsChild>
        <w:div w:id="1581675772">
          <w:marLeft w:val="44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78235162">
      <w:bodyDiv w:val="1"/>
      <w:marLeft w:val="0"/>
      <w:marRight w:val="0"/>
      <w:marTop w:val="0"/>
      <w:marBottom w:val="0"/>
      <w:divBdr>
        <w:top w:val="none" w:sz="0" w:space="0" w:color="auto"/>
        <w:left w:val="none" w:sz="0" w:space="0" w:color="auto"/>
        <w:bottom w:val="none" w:sz="0" w:space="0" w:color="auto"/>
        <w:right w:val="none" w:sz="0" w:space="0" w:color="auto"/>
      </w:divBdr>
      <w:divsChild>
        <w:div w:id="1477603433">
          <w:marLeft w:val="116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F8727167-487D-479C-9D8D-A9F45891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4</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5</cp:revision>
  <cp:lastPrinted>2009-04-22T13:01:00Z</cp:lastPrinted>
  <dcterms:created xsi:type="dcterms:W3CDTF">2019-04-01T09:37:00Z</dcterms:created>
  <dcterms:modified xsi:type="dcterms:W3CDTF">2019-04-01T15:38:00Z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